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pPr>
      <w:bookmarkStart w:id="0" w:name="_Hlk19781073"/>
    </w:p>
    <w:p>
      <w:pPr>
        <w:pStyle w:val="119"/>
        <w:rPr>
          <w:rFonts w:hint="default" w:eastAsia="宋体"/>
          <w:lang w:val="en-US" w:eastAsia="zh-CN"/>
        </w:rPr>
      </w:pPr>
      <w:r>
        <w:t>3GPP T</w:t>
      </w:r>
      <w:bookmarkStart w:id="1" w:name="_Ref452454252"/>
      <w:bookmarkEnd w:id="1"/>
      <w:r>
        <w:t>SG-</w:t>
      </w:r>
      <w:r>
        <w:rPr>
          <w:szCs w:val="24"/>
        </w:rPr>
        <w:t>RAN WG3 Meeting #12</w:t>
      </w:r>
      <w:r>
        <w:rPr>
          <w:rFonts w:hint="eastAsia" w:eastAsia="宋体"/>
          <w:szCs w:val="24"/>
          <w:lang w:val="en-US" w:eastAsia="zh-CN"/>
        </w:rPr>
        <w:t>4</w:t>
      </w:r>
      <w:r>
        <w:tab/>
      </w:r>
      <w:r>
        <w:rPr>
          <w:lang w:eastAsia="ja-JP"/>
        </w:rPr>
        <w:t>R3-2</w:t>
      </w:r>
      <w:r>
        <w:rPr>
          <w:rFonts w:hint="eastAsia" w:eastAsia="宋体"/>
          <w:lang w:val="en-US" w:eastAsia="zh-CN"/>
        </w:rPr>
        <w:t>43573</w:t>
      </w:r>
    </w:p>
    <w:p>
      <w:pPr>
        <w:pStyle w:val="119"/>
        <w:rPr>
          <w:rFonts w:hint="eastAsia" w:eastAsia="宋体"/>
          <w:lang w:eastAsia="zh-CN"/>
        </w:rPr>
      </w:pPr>
      <w:bookmarkStart w:id="2" w:name="_Hlk19781143"/>
      <w:r>
        <w:rPr>
          <w:rFonts w:hint="eastAsia" w:eastAsia="宋体"/>
          <w:szCs w:val="24"/>
          <w:lang w:val="en-US" w:eastAsia="zh-CN"/>
        </w:rPr>
        <w:t>Fukuoka</w:t>
      </w:r>
      <w:r>
        <w:rPr>
          <w:szCs w:val="24"/>
        </w:rPr>
        <w:t xml:space="preserve">, </w:t>
      </w:r>
      <w:r>
        <w:rPr>
          <w:rFonts w:hint="eastAsia" w:eastAsia="宋体"/>
          <w:szCs w:val="24"/>
          <w:lang w:val="en-US" w:eastAsia="zh-CN"/>
        </w:rPr>
        <w:t>Japan</w:t>
      </w:r>
      <w:r>
        <w:rPr>
          <w:szCs w:val="24"/>
        </w:rPr>
        <w:t xml:space="preserve">, </w:t>
      </w:r>
      <w:r>
        <w:rPr>
          <w:rFonts w:hint="eastAsia" w:eastAsia="宋体"/>
          <w:szCs w:val="24"/>
          <w:lang w:val="en-US" w:eastAsia="zh-CN"/>
        </w:rPr>
        <w:t>20</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24</w:t>
      </w:r>
      <w:r>
        <w:rPr>
          <w:rFonts w:hint="eastAsia" w:eastAsia="宋体"/>
          <w:vertAlign w:val="superscript"/>
          <w:lang w:val="en-US" w:eastAsia="zh-CN"/>
        </w:rPr>
        <w:t>th</w:t>
      </w:r>
      <w:r>
        <w:t xml:space="preserve"> </w:t>
      </w:r>
      <w:r>
        <w:rPr>
          <w:rFonts w:hint="eastAsia" w:eastAsia="宋体"/>
          <w:lang w:val="en-US" w:eastAsia="zh-CN"/>
        </w:rPr>
        <w:t>May</w:t>
      </w:r>
      <w:r>
        <w:t xml:space="preserve"> 202</w:t>
      </w:r>
      <w:r>
        <w:rPr>
          <w:rFonts w:hint="eastAsia" w:eastAsia="宋体"/>
          <w:lang w:val="en-US" w:eastAsia="zh-CN"/>
        </w:rPr>
        <w:t>4</w:t>
      </w:r>
    </w:p>
    <w:bookmarkEnd w:id="0"/>
    <w:bookmarkEnd w:id="2"/>
    <w:p>
      <w:pPr>
        <w:pStyle w:val="35"/>
        <w:rPr>
          <w:rFonts w:cs="Arial"/>
          <w:bCs/>
          <w:sz w:val="24"/>
          <w:lang w:eastAsia="ja-JP"/>
        </w:rPr>
      </w:pP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14.3</w:t>
      </w:r>
    </w:p>
    <w:p>
      <w:pPr>
        <w:pStyle w:val="90"/>
        <w:rPr>
          <w:rFonts w:hint="default" w:eastAsia="宋体"/>
          <w:lang w:val="en-US" w:eastAsia="zh-CN"/>
        </w:rPr>
      </w:pPr>
      <w:r>
        <w:t>Source:</w:t>
      </w:r>
      <w:r>
        <w:tab/>
      </w:r>
      <w:r>
        <w:rPr>
          <w:rFonts w:hint="eastAsia" w:eastAsia="宋体"/>
          <w:lang w:val="en-US" w:eastAsia="zh-CN"/>
        </w:rPr>
        <w:t>ZTE</w:t>
      </w:r>
    </w:p>
    <w:p>
      <w:pPr>
        <w:pStyle w:val="90"/>
        <w:ind w:left="1985" w:hanging="1985"/>
        <w:rPr>
          <w:rFonts w:hint="default"/>
          <w:lang w:val="en-US" w:eastAsia="ja-JP"/>
        </w:rPr>
      </w:pPr>
      <w:r>
        <w:t>Title:</w:t>
      </w:r>
      <w:r>
        <w:tab/>
      </w:r>
      <w:r>
        <w:rPr>
          <w:rFonts w:hint="eastAsia" w:eastAsia="宋体"/>
          <w:lang w:val="en-US" w:eastAsia="zh-CN"/>
        </w:rPr>
        <w:t>Discussion on support of regenerative payload</w:t>
      </w:r>
    </w:p>
    <w:p>
      <w:pPr>
        <w:pStyle w:val="90"/>
        <w:rPr>
          <w:rFonts w:hint="default" w:eastAsia="宋体"/>
          <w:lang w:val="en-US" w:eastAsia="zh-CN"/>
        </w:rPr>
      </w:pPr>
      <w:r>
        <w:t>Document for:</w:t>
      </w:r>
      <w:r>
        <w:tab/>
      </w:r>
      <w:r>
        <w:t>Discussion</w:t>
      </w:r>
    </w:p>
    <w:p>
      <w:pPr>
        <w:pStyle w:val="2"/>
        <w:bidi w:val="0"/>
      </w:pPr>
      <w:r>
        <w:rPr>
          <w:rFonts w:hint="eastAsia" w:eastAsia="宋体"/>
          <w:lang w:val="en-US" w:eastAsia="zh-CN"/>
        </w:rPr>
        <w:t xml:space="preserve">1  </w:t>
      </w:r>
      <w:r>
        <w:t>Introduction</w:t>
      </w:r>
    </w:p>
    <w:p>
      <w:pPr>
        <w:pStyle w:val="80"/>
        <w:ind w:left="0" w:firstLine="0"/>
        <w:rPr>
          <w:rFonts w:hint="default" w:ascii="Arial" w:hAnsi="Arial" w:cs="Arial"/>
          <w:color w:val="000000"/>
          <w:sz w:val="20"/>
          <w:szCs w:val="18"/>
          <w:lang w:val="en-US" w:eastAsia="zh-CN"/>
        </w:rPr>
      </w:pPr>
      <w:r>
        <w:rPr>
          <w:rFonts w:hint="eastAsia" w:ascii="Arial" w:hAnsi="Arial" w:cs="Arial"/>
          <w:color w:val="000000"/>
          <w:sz w:val="20"/>
          <w:szCs w:val="18"/>
          <w:lang w:val="en-US" w:eastAsia="zh-CN"/>
        </w:rPr>
        <w:t>In</w:t>
      </w:r>
      <w:r>
        <w:rPr>
          <w:rFonts w:hint="default" w:ascii="Arial" w:hAnsi="Arial" w:cs="Arial"/>
          <w:color w:val="000000"/>
          <w:sz w:val="20"/>
          <w:szCs w:val="18"/>
          <w:lang w:val="en-US" w:eastAsia="zh-CN"/>
        </w:rPr>
        <w:t xml:space="preserve"> </w:t>
      </w:r>
      <w:r>
        <w:rPr>
          <w:rFonts w:hint="eastAsia" w:ascii="Arial" w:hAnsi="Arial" w:cs="Arial"/>
          <w:color w:val="000000"/>
          <w:sz w:val="20"/>
          <w:szCs w:val="18"/>
          <w:lang w:val="en-US" w:eastAsia="zh-CN"/>
        </w:rPr>
        <w:t>last meeting, the discussion on support of regenerative payload was triggered and the NTN architecture was discussed, i.e., whether the new NTN architectures given in SA2</w:t>
      </w:r>
      <w:r>
        <w:rPr>
          <w:rFonts w:hint="default" w:ascii="Arial" w:hAnsi="Arial" w:cs="Arial"/>
          <w:color w:val="000000"/>
          <w:sz w:val="20"/>
          <w:szCs w:val="18"/>
          <w:lang w:val="en-US" w:eastAsia="zh-CN"/>
        </w:rPr>
        <w:t>’</w:t>
      </w:r>
      <w:r>
        <w:rPr>
          <w:rFonts w:hint="eastAsia" w:ascii="Arial" w:hAnsi="Arial" w:cs="Arial"/>
          <w:color w:val="000000"/>
          <w:sz w:val="20"/>
          <w:szCs w:val="18"/>
          <w:lang w:val="en-US" w:eastAsia="zh-CN"/>
        </w:rPr>
        <w:t>s SI should be considered in RAN3. While, there is not any agreement on this issue</w:t>
      </w:r>
      <w:r>
        <w:rPr>
          <w:rFonts w:hint="default" w:ascii="Arial" w:hAnsi="Arial" w:cs="Arial"/>
          <w:color w:val="000000"/>
          <w:sz w:val="20"/>
          <w:szCs w:val="18"/>
          <w:lang w:val="en-US" w:eastAsia="zh-CN"/>
        </w:rPr>
        <w:t>.</w:t>
      </w:r>
      <w:r>
        <w:rPr>
          <w:rFonts w:hint="eastAsia" w:ascii="Arial" w:hAnsi="Arial" w:cs="Arial"/>
          <w:color w:val="000000"/>
          <w:sz w:val="20"/>
          <w:szCs w:val="18"/>
          <w:lang w:val="en-US" w:eastAsia="zh-CN"/>
        </w:rPr>
        <w:t xml:space="preserve"> And some conclusion is given as below.</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Calibri" w:hAnsi="Calibri" w:cs="Calibri"/>
                <w:b/>
                <w:bCs/>
                <w:color w:val="FF0000"/>
                <w:sz w:val="20"/>
                <w:szCs w:val="21"/>
              </w:rPr>
            </w:pPr>
            <w:r>
              <w:rPr>
                <w:rFonts w:ascii="Calibri" w:hAnsi="Calibri" w:cs="Calibri"/>
                <w:b/>
                <w:bCs/>
                <w:color w:val="FF0000"/>
                <w:sz w:val="20"/>
                <w:szCs w:val="21"/>
              </w:rPr>
              <w:t>There is no consensus to discuss new NTN architecture now; wait for an LS from SA2 on this particular issue.</w:t>
            </w:r>
          </w:p>
          <w:p>
            <w:pPr>
              <w:pStyle w:val="80"/>
              <w:keepNext w:val="0"/>
              <w:keepLines w:val="0"/>
              <w:pageBreakBefore w:val="0"/>
              <w:widowControl/>
              <w:kinsoku/>
              <w:wordWrap/>
              <w:overflowPunct/>
              <w:topLinePunct w:val="0"/>
              <w:autoSpaceDE/>
              <w:autoSpaceDN/>
              <w:bidi w:val="0"/>
              <w:adjustRightInd/>
              <w:snapToGrid/>
              <w:spacing w:after="0"/>
              <w:ind w:left="0" w:leftChars="0" w:firstLine="0" w:firstLineChars="0"/>
              <w:textAlignment w:val="auto"/>
              <w:rPr>
                <w:rFonts w:hint="eastAsia" w:ascii="Arial" w:hAnsi="Arial" w:cs="Arial"/>
                <w:color w:val="000000"/>
                <w:sz w:val="20"/>
                <w:szCs w:val="20"/>
                <w:vertAlign w:val="baseline"/>
                <w:lang w:val="en-US" w:eastAsia="zh-CN"/>
              </w:rPr>
            </w:pPr>
            <w:r>
              <w:rPr>
                <w:rFonts w:ascii="Calibri" w:hAnsi="Calibri" w:cs="Calibri"/>
                <w:b/>
                <w:bCs/>
                <w:color w:val="FF0000"/>
                <w:sz w:val="20"/>
                <w:szCs w:val="21"/>
              </w:rPr>
              <w:t>Technical discussion based on current architecture can be discussed in next meeting.</w:t>
            </w:r>
          </w:p>
        </w:tc>
      </w:tr>
    </w:tbl>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20"/>
          <w:lang w:val="en-US" w:eastAsia="zh-CN"/>
        </w:rPr>
      </w:pPr>
      <w:r>
        <w:rPr>
          <w:rFonts w:hint="eastAsia" w:ascii="Arial" w:hAnsi="Arial" w:cs="Arial"/>
          <w:color w:val="000000"/>
          <w:sz w:val="20"/>
          <w:szCs w:val="20"/>
          <w:lang w:val="en-US" w:eastAsia="zh-CN"/>
        </w:rPr>
        <w:t>In addition, SA2 has sent two liaisons to ask for RAN3</w:t>
      </w:r>
      <w:r>
        <w:rPr>
          <w:rFonts w:hint="default" w:ascii="Arial" w:hAnsi="Arial" w:cs="Arial"/>
          <w:color w:val="000000"/>
          <w:sz w:val="20"/>
          <w:szCs w:val="20"/>
          <w:lang w:val="en-US" w:eastAsia="zh-CN"/>
        </w:rPr>
        <w:t>’</w:t>
      </w:r>
      <w:r>
        <w:rPr>
          <w:rFonts w:hint="eastAsia" w:ascii="Arial" w:hAnsi="Arial" w:cs="Arial"/>
          <w:color w:val="000000"/>
          <w:sz w:val="20"/>
          <w:szCs w:val="20"/>
          <w:lang w:val="en-US" w:eastAsia="zh-CN"/>
        </w:rPr>
        <w:t>s understanding on the support of regenerative-based satellite access and the security issue of IP transport over satellite transport links [1][2].</w:t>
      </w:r>
    </w:p>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p>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further views on the support of regenerative payload for NTN in Rel-19 and discuss the issues captured in SA2</w:t>
      </w:r>
      <w:r>
        <w:rPr>
          <w:rFonts w:hint="default" w:ascii="Arial" w:hAnsi="Arial" w:cs="Arial"/>
          <w:color w:val="000000"/>
          <w:sz w:val="20"/>
          <w:szCs w:val="20"/>
          <w:lang w:val="en-US" w:eastAsia="zh-CN"/>
        </w:rPr>
        <w:t>’</w:t>
      </w:r>
      <w:r>
        <w:rPr>
          <w:rFonts w:hint="eastAsia" w:ascii="Arial" w:hAnsi="Arial" w:cs="Arial"/>
          <w:color w:val="000000"/>
          <w:sz w:val="20"/>
          <w:szCs w:val="20"/>
          <w:lang w:val="en-US" w:eastAsia="zh-CN"/>
        </w:rPr>
        <w:t>s liaisons.</w:t>
      </w:r>
    </w:p>
    <w:p>
      <w:pPr>
        <w:pStyle w:val="2"/>
        <w:bidi w:val="0"/>
        <w:rPr>
          <w:rFonts w:hint="eastAsia"/>
          <w:lang w:val="en-US" w:eastAsia="zh-CN"/>
        </w:rPr>
      </w:pPr>
      <w:r>
        <w:rPr>
          <w:rFonts w:hint="eastAsia"/>
          <w:lang w:val="en-US" w:eastAsia="zh-CN"/>
        </w:rPr>
        <w:t>2  Discussion</w:t>
      </w:r>
    </w:p>
    <w:p>
      <w:pPr>
        <w:pStyle w:val="3"/>
        <w:bidi w:val="0"/>
        <w:rPr>
          <w:rFonts w:hint="default"/>
          <w:sz w:val="28"/>
          <w:szCs w:val="18"/>
          <w:lang w:val="en-US" w:eastAsia="zh-CN"/>
        </w:rPr>
      </w:pPr>
      <w:r>
        <w:rPr>
          <w:rFonts w:hint="eastAsia"/>
          <w:sz w:val="28"/>
          <w:szCs w:val="18"/>
          <w:lang w:val="en-US" w:eastAsia="zh-CN"/>
        </w:rPr>
        <w:t>2.1  SA2</w:t>
      </w:r>
      <w:r>
        <w:rPr>
          <w:rFonts w:hint="default"/>
          <w:sz w:val="28"/>
          <w:szCs w:val="18"/>
          <w:lang w:val="en-US" w:eastAsia="zh-CN"/>
        </w:rPr>
        <w:t>’</w:t>
      </w:r>
      <w:r>
        <w:rPr>
          <w:rFonts w:hint="eastAsia"/>
          <w:sz w:val="28"/>
          <w:szCs w:val="18"/>
          <w:lang w:val="en-US" w:eastAsia="zh-CN"/>
        </w:rPr>
        <w:t>s LS on support of regenerative-based satellite access</w:t>
      </w:r>
    </w:p>
    <w:p>
      <w:pPr>
        <w:rPr>
          <w:rFonts w:hint="default" w:ascii="Arial" w:hAnsi="Arial" w:cs="Arial"/>
          <w:sz w:val="20"/>
          <w:szCs w:val="20"/>
          <w:lang w:val="en-US" w:eastAsia="zh-CN"/>
        </w:rPr>
      </w:pPr>
      <w:r>
        <w:rPr>
          <w:rFonts w:hint="eastAsia" w:ascii="Arial" w:hAnsi="Arial" w:cs="Arial"/>
          <w:sz w:val="20"/>
          <w:szCs w:val="20"/>
          <w:lang w:val="en-US" w:eastAsia="zh-CN"/>
        </w:rPr>
        <w:t>In [1], SA2 asks for RAN3</w:t>
      </w:r>
      <w:r>
        <w:rPr>
          <w:rFonts w:hint="default" w:ascii="Arial" w:hAnsi="Arial" w:cs="Arial"/>
          <w:sz w:val="20"/>
          <w:szCs w:val="20"/>
          <w:lang w:val="en-US" w:eastAsia="zh-CN"/>
        </w:rPr>
        <w:t>’</w:t>
      </w:r>
      <w:r>
        <w:rPr>
          <w:rFonts w:hint="eastAsia" w:ascii="Arial" w:hAnsi="Arial" w:cs="Arial"/>
          <w:sz w:val="20"/>
          <w:szCs w:val="20"/>
          <w:lang w:val="en-US" w:eastAsia="zh-CN"/>
        </w:rPr>
        <w:t>s view on three bullets with respective to the Key Issue #1 of TR 23.700-29 for support of Regenerative-based satellite access.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80"/>
              <w:numPr>
                <w:ilvl w:val="0"/>
                <w:numId w:val="1"/>
              </w:numPr>
            </w:pPr>
            <w:r>
              <w:t>A procedure to handle the N2 and S1 connections when the eNB/gNB leaves the service area of an AMF/MME (e.g. when setting over the horizon) should be supported. Options e.g. disconnecting/suspending/performing configuration update of the N2/S1 connections are considered in SA2. It is up to RAN3 to determine the final option about whether to reuse existing or new mechanisms/procedures.</w:t>
            </w:r>
          </w:p>
          <w:p>
            <w:pPr>
              <w:pStyle w:val="80"/>
              <w:numPr>
                <w:ilvl w:val="0"/>
                <w:numId w:val="1"/>
              </w:numPr>
            </w:pPr>
            <w:r>
              <w:rPr>
                <w:rFonts w:eastAsia="等线"/>
                <w:lang w:eastAsia="zh-CN"/>
              </w:rPr>
              <w:t xml:space="preserve">If </w:t>
            </w:r>
            <w:r>
              <w:t>the eNB/gNB IP address changes</w:t>
            </w:r>
            <w:r>
              <w:rPr>
                <w:rFonts w:eastAsia="等线"/>
                <w:lang w:eastAsia="zh-CN"/>
              </w:rPr>
              <w:t xml:space="preserve"> due to soft feeder link switch, SA2 assumes that this case can be supported using the existing procedures.</w:t>
            </w:r>
          </w:p>
          <w:p>
            <w:pPr>
              <w:pStyle w:val="80"/>
              <w:numPr>
                <w:ilvl w:val="0"/>
                <w:numId w:val="1"/>
              </w:numPr>
              <w:rPr>
                <w:rFonts w:hint="default" w:ascii="Arial" w:hAnsi="Arial" w:cs="Arial"/>
                <w:sz w:val="20"/>
                <w:szCs w:val="20"/>
                <w:vertAlign w:val="baseline"/>
                <w:lang w:val="en-US" w:eastAsia="zh-CN"/>
              </w:rPr>
            </w:pPr>
            <w:r>
              <w:t>SA2 assumes that AMF/MME can treat the Mapped Cell ID as per rel-17</w:t>
            </w:r>
            <w:r>
              <w:rPr>
                <w:lang w:eastAsia="zh-CN"/>
              </w:rPr>
              <w:t>.</w:t>
            </w:r>
          </w:p>
        </w:tc>
      </w:tr>
    </w:tbl>
    <w:p>
      <w:pPr>
        <w:rPr>
          <w:rFonts w:hint="default" w:ascii="Arial" w:hAnsi="Arial" w:cs="Arial"/>
          <w:sz w:val="20"/>
          <w:szCs w:val="20"/>
          <w:lang w:val="en-US" w:eastAsia="zh-CN"/>
        </w:rPr>
      </w:pPr>
      <w:r>
        <w:rPr>
          <w:rFonts w:hint="eastAsia" w:ascii="Arial" w:hAnsi="Arial" w:cs="Arial"/>
          <w:sz w:val="20"/>
          <w:szCs w:val="20"/>
          <w:lang w:val="en-US" w:eastAsia="zh-CN"/>
        </w:rPr>
        <w:t>For the first bullet, the management of NG connection has already been captured in the Rel-19 NR NTN WI, and RAN3 shall start to discuss this issue. While, the management of S1 connection should be treated in IoT NTN WI rather than the NR NTN WI, and the IoT NTN WI will not be discussed until Q3. However, as we did in the previous releases, the progress of NR NTN on specific features can be reused to IoT NTN. Therefore, in this meeting, RAN3 shall focus on the discussion of NG connection management.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Observation : RAN3 shall focus on the management of NG connection in this meeting.</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p>
    <w:p>
      <w:pPr>
        <w:rPr>
          <w:rFonts w:hint="default" w:ascii="Arial" w:hAnsi="Arial" w:cs="Arial"/>
          <w:sz w:val="20"/>
          <w:szCs w:val="20"/>
          <w:lang w:val="en-US" w:eastAsia="zh-CN"/>
        </w:rPr>
      </w:pPr>
      <w:r>
        <w:rPr>
          <w:rFonts w:hint="eastAsia" w:ascii="Arial" w:hAnsi="Arial" w:cs="Arial"/>
          <w:sz w:val="20"/>
          <w:szCs w:val="20"/>
          <w:lang w:val="en-US" w:eastAsia="zh-CN"/>
        </w:rPr>
        <w:t>To be more specific, there are two options on the table.</w:t>
      </w:r>
    </w:p>
    <w:p>
      <w:pPr>
        <w:rPr>
          <w:rFonts w:hint="default" w:ascii="Arial" w:hAnsi="Arial" w:cs="Arial"/>
          <w:sz w:val="20"/>
          <w:szCs w:val="20"/>
          <w:lang w:val="en-US" w:eastAsia="zh-CN"/>
        </w:rPr>
      </w:pPr>
      <w:r>
        <w:rPr>
          <w:rFonts w:hint="eastAsia" w:ascii="Arial" w:hAnsi="Arial" w:cs="Arial"/>
          <w:sz w:val="20"/>
          <w:szCs w:val="20"/>
          <w:lang w:val="en-US" w:eastAsia="zh-CN"/>
        </w:rPr>
        <w:t>Option 1: NG Setup/Removal mechanism</w:t>
      </w:r>
    </w:p>
    <w:p>
      <w:pPr>
        <w:rPr>
          <w:rFonts w:hint="default" w:ascii="Arial" w:hAnsi="Arial" w:cs="Arial"/>
          <w:sz w:val="20"/>
          <w:szCs w:val="20"/>
          <w:lang w:val="en-US" w:eastAsia="zh-CN"/>
        </w:rPr>
      </w:pPr>
      <w:r>
        <w:rPr>
          <w:rFonts w:hint="eastAsia" w:ascii="Arial" w:hAnsi="Arial" w:cs="Arial"/>
          <w:sz w:val="20"/>
          <w:szCs w:val="20"/>
          <w:lang w:val="en-US" w:eastAsia="zh-CN"/>
        </w:rPr>
        <w:t>Option 2: NG Suspend/Resume mechanism</w:t>
      </w:r>
    </w:p>
    <w:p>
      <w:pPr>
        <w:rPr>
          <w:rFonts w:hint="default" w:ascii="Arial" w:hAnsi="Arial" w:cs="Arial"/>
          <w:sz w:val="20"/>
          <w:szCs w:val="20"/>
          <w:lang w:val="en-US" w:eastAsia="zh-CN"/>
        </w:rPr>
      </w:pPr>
      <w:r>
        <w:rPr>
          <w:rFonts w:hint="eastAsia" w:ascii="Arial" w:hAnsi="Arial" w:cs="Arial"/>
          <w:sz w:val="20"/>
          <w:szCs w:val="20"/>
          <w:lang w:val="en-US" w:eastAsia="zh-CN"/>
        </w:rPr>
        <w:t xml:space="preserve">For Option 1, when the gNB decides to leave the service area of AMF based on the ephemeris information, it shall trigger a new NG Removal procedure to the AMF to release or handover its served UEs. After the NG Removal procedure, the UE context should be released and the NG interface is completely removed. When the gNB re-enters the service area of AMF, it triggers the existing NG Setup procedure to the AMF. </w:t>
      </w:r>
    </w:p>
    <w:p>
      <w:pPr>
        <w:rPr>
          <w:rFonts w:hint="default" w:ascii="Arial" w:hAnsi="Arial" w:cs="Arial"/>
          <w:sz w:val="20"/>
          <w:szCs w:val="20"/>
          <w:lang w:val="en-US" w:eastAsia="zh-CN"/>
        </w:rPr>
      </w:pPr>
      <w:r>
        <w:rPr>
          <w:rFonts w:hint="eastAsia" w:ascii="Arial" w:hAnsi="Arial" w:cs="Arial"/>
          <w:sz w:val="20"/>
          <w:szCs w:val="20"/>
          <w:lang w:val="en-US" w:eastAsia="zh-CN"/>
        </w:rPr>
        <w:t>For Option 2, when the gNB decides to leave the service area of AMF based on the ephemeris information, it shall trigger the existing NGAP procedure (e.g. RAN Configuration Update procedure) to the AMF to suspend the NG interface instead of removing it. In this case, the gNB and the AMF shall store the UE context and the configuration information related to the NG interface. When the gNB re-enters the service area of AMF, the stored UE context and configuration information could be reused, and the NG interface shall be resumed.</w:t>
      </w:r>
    </w:p>
    <w:p>
      <w:pPr>
        <w:rPr>
          <w:rFonts w:hint="eastAsia" w:ascii="Arial" w:hAnsi="Arial" w:cs="Arial"/>
          <w:sz w:val="20"/>
          <w:szCs w:val="20"/>
          <w:lang w:val="en-US" w:eastAsia="zh-CN"/>
        </w:rPr>
      </w:pPr>
      <w:r>
        <w:rPr>
          <w:rFonts w:hint="eastAsia" w:ascii="Arial" w:hAnsi="Arial" w:cs="Arial"/>
          <w:sz w:val="20"/>
          <w:szCs w:val="20"/>
          <w:lang w:val="en-US" w:eastAsia="zh-CN"/>
        </w:rPr>
        <w:t>Considering the NGAP signalling, two NGAP procedures need to be handled for Option 1, i.e., the NG Setup procedure and NG Removal procedure. Furthermore, the NG Removal procedure is a totally new NGAP procedure. While, for Option 2, only one NGAP procedure need to be handled, e.g, the existing RAN Configuration Update procedure. Therefore, from the prospective of standard impact on NG interface, the Option 2 is more appropriate.</w:t>
      </w:r>
    </w:p>
    <w:p>
      <w:pPr>
        <w:rPr>
          <w:rFonts w:hint="default" w:ascii="Arial" w:hAnsi="Arial" w:cs="Arial"/>
          <w:sz w:val="20"/>
          <w:szCs w:val="20"/>
          <w:lang w:val="en-US" w:eastAsia="zh-CN"/>
        </w:rPr>
      </w:pPr>
      <w:r>
        <w:rPr>
          <w:rFonts w:hint="eastAsia" w:ascii="Arial" w:hAnsi="Arial" w:cs="Arial"/>
          <w:sz w:val="20"/>
          <w:szCs w:val="20"/>
          <w:lang w:val="en-US" w:eastAsia="zh-CN"/>
        </w:rPr>
        <w:t>Considering the energy consumption, for Option 2, since the gNB and AMF shall store the UE context and configuration information, it shall consume some energy for storage. While, for Option 1, although there is no storage energy consumption for the gNB, it will still consume some extra energy for sending the additional NGAP signalling. As the satellite is far away from the NTN GTW, the energy consumption for NGAP signalling transmission cannot be overlooked. Therefore, from the prospective of energy consumption, it is hard to decide which option is better, which may need to be evaluated by satellite vendors.</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1: The NG Suspend/Resume mechanism should be applied for the management of NG connection.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rPr>
          <w:rFonts w:hint="default" w:ascii="Arial" w:hAnsi="Arial" w:cs="Arial"/>
          <w:sz w:val="20"/>
          <w:szCs w:val="20"/>
          <w:lang w:val="en-US" w:eastAsia="zh-CN"/>
        </w:rPr>
      </w:pPr>
      <w:r>
        <w:rPr>
          <w:rFonts w:hint="eastAsia" w:ascii="Arial" w:hAnsi="Arial" w:cs="Arial"/>
          <w:sz w:val="20"/>
          <w:szCs w:val="20"/>
          <w:lang w:val="en-US" w:eastAsia="zh-CN"/>
        </w:rPr>
        <w:t>For the second bullet, SA2 has assumed that the case of eNB/gNB IP address changes due to soft feeder link switch can be supported by existing procedures.</w:t>
      </w:r>
    </w:p>
    <w:p>
      <w:pPr>
        <w:rPr>
          <w:rFonts w:hint="default" w:ascii="Arial" w:hAnsi="Arial" w:cs="Arial"/>
          <w:sz w:val="20"/>
          <w:szCs w:val="20"/>
          <w:lang w:val="en-US" w:eastAsia="zh-CN"/>
        </w:rPr>
      </w:pPr>
      <w:r>
        <w:rPr>
          <w:rFonts w:hint="eastAsia" w:ascii="Arial" w:hAnsi="Arial" w:cs="Arial"/>
          <w:sz w:val="20"/>
          <w:szCs w:val="20"/>
          <w:lang w:val="en-US" w:eastAsia="zh-CN"/>
        </w:rPr>
        <w:t>According to the TS 38.412[3], the multiple SCTP associations has already been supported over NG, and the corresponding description is given as below.</w:t>
      </w:r>
    </w:p>
    <w:p>
      <w:pPr>
        <w:rPr>
          <w:rFonts w:hint="eastAsia" w:ascii="Arial" w:hAnsi="Arial" w:cs="Arial"/>
          <w:sz w:val="20"/>
          <w:szCs w:val="20"/>
          <w:lang w:val="en-US" w:eastAsia="zh-CN"/>
        </w:rPr>
      </w:pPr>
      <w:r>
        <w:rPr>
          <w:rFonts w:hint="eastAsia" w:ascii="Arial" w:hAnsi="Arial" w:cs="Arial"/>
          <w:sz w:val="20"/>
          <w:szCs w:val="20"/>
          <w:lang w:val="en-US" w:eastAsia="zh-CN"/>
        </w:rPr>
        <w:t>------------------------------------------------------------TS 38.412----------------------------------------------------------------------</w:t>
      </w:r>
    </w:p>
    <w:p>
      <w:pPr>
        <w:rPr>
          <w:rFonts w:eastAsia="MS Mincho"/>
          <w:highlight w:val="yellow"/>
          <w:lang w:eastAsia="ja-JP"/>
        </w:rPr>
      </w:pPr>
      <w:r>
        <w:t xml:space="preserve">NG-RAN node and AMF shall support a configuration with a single SCTP association per NG-RAN node/AMF pair. </w:t>
      </w:r>
      <w:r>
        <w:rPr>
          <w:highlight w:val="yellow"/>
        </w:rPr>
        <w:t>Configurations with multiple SCTP endpoints per NG-RAN node/AMF pair should be supported. When configurations with multiple SCTP associations are supported, the AMF may request to dynamically add/remove SCTP associations between the NG-RAN node/AMF pair</w:t>
      </w:r>
      <w:r>
        <w:t xml:space="preserve">. Within the set of SCTP associations established between one AMF and NG-RAN node pair, the AMF may request the NG-RAN node to restrict the usage of SCTP association for certain types of NG-C signalling. If no restriction information is provided for an SCTP association, any type of NG-C signalling is allowed via the SCTP association. Selection of the SCTP association by the NG-RAN node and the AMF is specified in TS 23.501 [3] and TS 23.502 [4]. The NG-RAN node shall establish the SCTP association. The SCTP Destination Port number value assigned by IANA to be used for NGAP is 38412. When the AMF </w:t>
      </w:r>
      <w:r>
        <w:rPr>
          <w:lang w:eastAsia="ja-JP"/>
        </w:rPr>
        <w:t xml:space="preserve">requests to dynamically add additional SCTP associations between the </w:t>
      </w:r>
      <w:r>
        <w:t xml:space="preserve">NG-RAN node/AMF </w:t>
      </w:r>
      <w:r>
        <w:rPr>
          <w:lang w:eastAsia="ja-JP"/>
        </w:rPr>
        <w:t xml:space="preserve">pair, the </w:t>
      </w:r>
      <w:r>
        <w:t xml:space="preserve">SCTP Destination Port number value may be 38412, or any </w:t>
      </w:r>
      <w:r>
        <w:rPr>
          <w:iCs/>
        </w:rPr>
        <w:t xml:space="preserve">dynamic port value </w:t>
      </w:r>
      <w:r>
        <w:rPr>
          <w:rFonts w:hint="eastAsia"/>
        </w:rPr>
        <w:t xml:space="preserve">(IETF RFC </w:t>
      </w:r>
      <w:r>
        <w:t>6335</w:t>
      </w:r>
      <w:r>
        <w:rPr>
          <w:rFonts w:hint="eastAsia"/>
        </w:rPr>
        <w:t xml:space="preserve"> [</w:t>
      </w:r>
      <w:r>
        <w:rPr>
          <w:rFonts w:eastAsia="MS Mincho"/>
          <w:lang w:eastAsia="ja-JP"/>
        </w:rPr>
        <w:t>9</w:t>
      </w:r>
      <w:r>
        <w:rPr>
          <w:rFonts w:hint="eastAsia"/>
        </w:rPr>
        <w:t>])</w:t>
      </w:r>
      <w:r>
        <w:rPr>
          <w:lang w:eastAsia="ja-JP"/>
        </w:rPr>
        <w:t>.</w:t>
      </w:r>
      <w:r>
        <w:t xml:space="preserve"> </w:t>
      </w:r>
      <w:r>
        <w:rPr>
          <w:highlight w:val="yellow"/>
        </w:rPr>
        <w:t>When the configuration with multiple SCTP endpoints per NG-RAN node is supported and the NG-RAN node wants to add additional SCTP endpoints, the RAN configuration update procedure shall be the first NGAP procedure triggered on an additional TNLA of an already setup NG-C interface instance after the TNL association has become operational, and the AMF shall associate the TNLA to the NG-C interface instance using the included Global RAN node ID.</w:t>
      </w:r>
    </w:p>
    <w:p>
      <w:pPr>
        <w:rPr>
          <w:rFonts w:hint="eastAsia" w:ascii="Arial" w:hAnsi="Arial" w:cs="Arial"/>
          <w:sz w:val="20"/>
          <w:szCs w:val="20"/>
          <w:lang w:val="en-US" w:eastAsia="zh-CN"/>
        </w:rPr>
      </w:pPr>
      <w:r>
        <w:rPr>
          <w:rFonts w:hint="eastAsia" w:ascii="Arial" w:hAnsi="Arial" w:cs="Arial"/>
          <w:sz w:val="20"/>
          <w:szCs w:val="20"/>
          <w:lang w:val="en-US" w:eastAsia="zh-CN"/>
        </w:rPr>
        <w:t>------------------------------------------------------------TS 38.412----------------------------------------------------------------------</w:t>
      </w:r>
    </w:p>
    <w:p>
      <w:pPr>
        <w:rPr>
          <w:rFonts w:hint="eastAsia" w:ascii="Arial" w:hAnsi="Arial" w:cs="Arial"/>
          <w:sz w:val="20"/>
          <w:szCs w:val="20"/>
          <w:lang w:val="en-US" w:eastAsia="zh-CN"/>
        </w:rPr>
      </w:pPr>
      <w:r>
        <w:rPr>
          <w:rFonts w:hint="eastAsia" w:ascii="Arial" w:hAnsi="Arial" w:cs="Arial"/>
          <w:sz w:val="20"/>
          <w:szCs w:val="20"/>
          <w:lang w:val="en-US" w:eastAsia="zh-CN"/>
        </w:rPr>
        <w:t>With the multiple SCTP associations, the case mentioned by SA2 can be achieved by using the existing NGAP RAN Configuration Update procedure. After the gNB on board connects with a new NTN GW, the AMF is able to associate the new TNLA to the NG-C interface instance using the included Global RAN Node ID.</w:t>
      </w:r>
    </w:p>
    <w:p>
      <w:pPr>
        <w:pStyle w:val="86"/>
        <w:keepNext w:val="0"/>
        <w:keepLines w:val="0"/>
        <w:pageBreakBefore w:val="0"/>
        <w:widowControl/>
        <w:kinsoku/>
        <w:wordWrap/>
        <w:overflowPunct/>
        <w:topLinePunct w:val="0"/>
        <w:autoSpaceDE/>
        <w:autoSpaceDN/>
        <w:bidi w:val="0"/>
        <w:adjustRightInd/>
        <w:snapToGrid/>
        <w:spacing w:after="0"/>
        <w:ind w:right="200" w:rightChars="100"/>
        <w:textAlignment w:val="auto"/>
        <w:rPr>
          <w:rFonts w:hint="eastAsia"/>
          <w:b/>
          <w:bCs/>
          <w:sz w:val="20"/>
          <w:szCs w:val="20"/>
          <w:lang w:val="en-US" w:eastAsia="zh-CN"/>
        </w:rPr>
      </w:pPr>
      <w:r>
        <w:rPr>
          <w:rFonts w:hint="eastAsia"/>
          <w:b/>
          <w:bCs/>
          <w:sz w:val="20"/>
          <w:szCs w:val="20"/>
          <w:lang w:val="en-US" w:eastAsia="zh-CN"/>
        </w:rPr>
        <w:t>Proposal 2: The case of gNB IP address changes due to soft feeder link switch can be supported by the existing NGAP RAN Configuration Update procedure.</w:t>
      </w:r>
    </w:p>
    <w:p>
      <w:pPr>
        <w:pStyle w:val="86"/>
        <w:keepNext w:val="0"/>
        <w:keepLines w:val="0"/>
        <w:pageBreakBefore w:val="0"/>
        <w:widowControl/>
        <w:kinsoku/>
        <w:wordWrap/>
        <w:overflowPunct/>
        <w:topLinePunct w:val="0"/>
        <w:autoSpaceDE/>
        <w:autoSpaceDN/>
        <w:bidi w:val="0"/>
        <w:adjustRightInd/>
        <w:snapToGrid/>
        <w:spacing w:after="0"/>
        <w:ind w:right="200" w:rightChars="100"/>
        <w:textAlignment w:val="auto"/>
        <w:rPr>
          <w:rFonts w:hint="default"/>
          <w:b/>
          <w:bCs/>
          <w:sz w:val="20"/>
          <w:szCs w:val="20"/>
          <w:lang w:val="en-US" w:eastAsia="zh-CN"/>
        </w:rPr>
      </w:pPr>
    </w:p>
    <w:p>
      <w:pPr>
        <w:rPr>
          <w:rFonts w:hint="eastAsia" w:ascii="Arial" w:hAnsi="Arial" w:cs="Arial"/>
          <w:sz w:val="20"/>
          <w:szCs w:val="20"/>
          <w:lang w:val="en-US" w:eastAsia="zh-CN"/>
        </w:rPr>
      </w:pPr>
      <w:r>
        <w:rPr>
          <w:rFonts w:hint="eastAsia" w:ascii="Arial" w:hAnsi="Arial" w:cs="Arial"/>
          <w:sz w:val="20"/>
          <w:szCs w:val="20"/>
          <w:lang w:val="en-US" w:eastAsia="zh-CN"/>
        </w:rPr>
        <w:t>However, the multiple SCTP associations has not been supported over S1 by checking the TS 36.412 [4], which means the case of eNB IP address changes due to soft feeder link switch cannot be achieved by the existing S1AP procedure.</w:t>
      </w:r>
    </w:p>
    <w:p>
      <w:pPr>
        <w:pStyle w:val="86"/>
        <w:keepNext w:val="0"/>
        <w:keepLines w:val="0"/>
        <w:pageBreakBefore w:val="0"/>
        <w:widowControl/>
        <w:kinsoku/>
        <w:wordWrap/>
        <w:overflowPunct/>
        <w:topLinePunct w:val="0"/>
        <w:autoSpaceDE/>
        <w:autoSpaceDN/>
        <w:bidi w:val="0"/>
        <w:adjustRightInd/>
        <w:snapToGrid/>
        <w:spacing w:after="0"/>
        <w:ind w:right="200" w:rightChars="100"/>
        <w:textAlignment w:val="auto"/>
        <w:rPr>
          <w:rFonts w:hint="eastAsia"/>
          <w:b/>
          <w:bCs/>
          <w:sz w:val="20"/>
          <w:szCs w:val="20"/>
          <w:lang w:val="en-US" w:eastAsia="zh-CN"/>
        </w:rPr>
      </w:pPr>
      <w:r>
        <w:rPr>
          <w:rFonts w:hint="eastAsia"/>
          <w:b/>
          <w:bCs/>
          <w:sz w:val="20"/>
          <w:szCs w:val="20"/>
          <w:lang w:val="en-US" w:eastAsia="zh-CN"/>
        </w:rPr>
        <w:t>Proposal 3: The case of eNB IP address changes due to soft feeder link switch cannot be supported by the existing S1AP procedure.</w:t>
      </w:r>
    </w:p>
    <w:p>
      <w:pPr>
        <w:pStyle w:val="86"/>
        <w:keepNext w:val="0"/>
        <w:keepLines w:val="0"/>
        <w:pageBreakBefore w:val="0"/>
        <w:widowControl/>
        <w:kinsoku/>
        <w:wordWrap/>
        <w:overflowPunct/>
        <w:topLinePunct w:val="0"/>
        <w:autoSpaceDE/>
        <w:autoSpaceDN/>
        <w:bidi w:val="0"/>
        <w:adjustRightInd/>
        <w:snapToGrid/>
        <w:spacing w:after="0"/>
        <w:ind w:right="200" w:rightChars="100"/>
        <w:textAlignment w:val="auto"/>
        <w:rPr>
          <w:rFonts w:hint="eastAsia"/>
          <w:b/>
          <w:bCs/>
          <w:sz w:val="20"/>
          <w:szCs w:val="20"/>
          <w:lang w:val="en-US" w:eastAsia="zh-CN"/>
        </w:rPr>
      </w:pPr>
    </w:p>
    <w:p>
      <w:pPr>
        <w:rPr>
          <w:rFonts w:hint="default" w:ascii="Arial" w:hAnsi="Arial" w:cs="Arial"/>
          <w:sz w:val="20"/>
          <w:szCs w:val="20"/>
          <w:lang w:val="en-US" w:eastAsia="zh-CN"/>
        </w:rPr>
      </w:pPr>
      <w:r>
        <w:rPr>
          <w:rFonts w:hint="eastAsia" w:ascii="Arial" w:hAnsi="Arial" w:cs="Arial"/>
          <w:sz w:val="20"/>
          <w:szCs w:val="20"/>
          <w:lang w:val="en-US" w:eastAsia="zh-CN"/>
        </w:rPr>
        <w:t>For the third bullet, SA2 has assumed that AMF/MME can treat the Mapped Cell ID as per Rel-17.</w:t>
      </w:r>
    </w:p>
    <w:p>
      <w:pPr>
        <w:rPr>
          <w:rFonts w:hint="default" w:ascii="Arial" w:hAnsi="Arial" w:cs="Arial"/>
          <w:sz w:val="20"/>
          <w:szCs w:val="20"/>
          <w:lang w:val="en-US" w:eastAsia="zh-CN"/>
        </w:rPr>
      </w:pPr>
      <w:r>
        <w:rPr>
          <w:rFonts w:hint="eastAsia" w:ascii="Arial" w:hAnsi="Arial" w:cs="Arial"/>
          <w:sz w:val="20"/>
          <w:szCs w:val="20"/>
          <w:lang w:val="en-US" w:eastAsia="zh-CN"/>
        </w:rPr>
        <w:t>As given in TS 38.300[5], the mapping between Mapped Cell IDs and geographical areas is configured in the RAN and Core network. Taking the NR NTN as example, even though the mapped cell ID using the NCGI format may change with the different gNB IDs, it can be solved by Operators</w:t>
      </w:r>
      <w:r>
        <w:rPr>
          <w:rFonts w:hint="default" w:ascii="Arial" w:hAnsi="Arial" w:cs="Arial"/>
          <w:sz w:val="20"/>
          <w:szCs w:val="20"/>
          <w:lang w:val="en-US" w:eastAsia="zh-CN"/>
        </w:rPr>
        <w:t>’</w:t>
      </w:r>
      <w:r>
        <w:rPr>
          <w:rFonts w:hint="eastAsia" w:ascii="Arial" w:hAnsi="Arial" w:cs="Arial"/>
          <w:sz w:val="20"/>
          <w:szCs w:val="20"/>
          <w:lang w:val="en-US" w:eastAsia="zh-CN"/>
        </w:rPr>
        <w:t xml:space="preserve"> implementation to help maintain the mapping rule and select the appropriate mapped cell ID. The similar principle should also applies for IoT NTN.</w:t>
      </w:r>
    </w:p>
    <w:p>
      <w:pPr>
        <w:pStyle w:val="86"/>
        <w:keepNext w:val="0"/>
        <w:keepLines w:val="0"/>
        <w:pageBreakBefore w:val="0"/>
        <w:widowControl/>
        <w:kinsoku/>
        <w:wordWrap/>
        <w:overflowPunct/>
        <w:topLinePunct w:val="0"/>
        <w:autoSpaceDE/>
        <w:autoSpaceDN/>
        <w:bidi w:val="0"/>
        <w:adjustRightInd/>
        <w:snapToGrid/>
        <w:spacing w:after="0"/>
        <w:ind w:right="200" w:rightChars="100"/>
        <w:textAlignment w:val="auto"/>
        <w:rPr>
          <w:rFonts w:hint="eastAsia"/>
          <w:b/>
          <w:bCs/>
          <w:sz w:val="20"/>
          <w:szCs w:val="20"/>
          <w:lang w:val="en-US" w:eastAsia="zh-CN"/>
        </w:rPr>
      </w:pPr>
      <w:r>
        <w:rPr>
          <w:rFonts w:hint="eastAsia"/>
          <w:b/>
          <w:bCs/>
          <w:sz w:val="20"/>
          <w:szCs w:val="20"/>
          <w:lang w:val="en-US" w:eastAsia="zh-CN"/>
        </w:rPr>
        <w:t>Proposal 4: The AMF/MME can treat the Mapped Cell ID as in previous releases.</w:t>
      </w:r>
    </w:p>
    <w:p>
      <w:pPr>
        <w:pStyle w:val="3"/>
        <w:bidi w:val="0"/>
        <w:rPr>
          <w:rFonts w:hint="default"/>
          <w:sz w:val="28"/>
          <w:szCs w:val="18"/>
          <w:lang w:val="en-US" w:eastAsia="zh-CN"/>
        </w:rPr>
      </w:pPr>
      <w:r>
        <w:rPr>
          <w:rFonts w:hint="eastAsia"/>
          <w:sz w:val="28"/>
          <w:szCs w:val="18"/>
          <w:lang w:val="en-US" w:eastAsia="zh-CN"/>
        </w:rPr>
        <w:t xml:space="preserve">2.2  </w:t>
      </w:r>
      <w:r>
        <w:rPr>
          <w:rFonts w:hint="eastAsia"/>
          <w:sz w:val="28"/>
          <w:szCs w:val="18"/>
          <w:highlight w:val="none"/>
          <w:lang w:val="en-US" w:eastAsia="zh-CN"/>
        </w:rPr>
        <w:t>SA2</w:t>
      </w:r>
      <w:r>
        <w:rPr>
          <w:rFonts w:hint="default"/>
          <w:sz w:val="28"/>
          <w:szCs w:val="18"/>
          <w:highlight w:val="none"/>
          <w:lang w:val="en-US" w:eastAsia="zh-CN"/>
        </w:rPr>
        <w:t>’</w:t>
      </w:r>
      <w:r>
        <w:rPr>
          <w:rFonts w:hint="eastAsia"/>
          <w:sz w:val="28"/>
          <w:szCs w:val="18"/>
          <w:highlight w:val="none"/>
          <w:lang w:val="en-US" w:eastAsia="zh-CN"/>
        </w:rPr>
        <w:t>s LS on security of IP transport over satellite transport links</w:t>
      </w:r>
    </w:p>
    <w:p>
      <w:pPr>
        <w:rPr>
          <w:rFonts w:hint="eastAsia" w:ascii="Arial" w:hAnsi="Arial" w:cs="Arial"/>
          <w:sz w:val="20"/>
          <w:szCs w:val="20"/>
          <w:lang w:val="en-US" w:eastAsia="zh-CN"/>
        </w:rPr>
      </w:pPr>
      <w:r>
        <w:rPr>
          <w:rFonts w:hint="eastAsia" w:ascii="Arial" w:hAnsi="Arial" w:cs="Arial"/>
          <w:sz w:val="20"/>
          <w:szCs w:val="20"/>
          <w:lang w:val="en-US" w:eastAsia="zh-CN"/>
        </w:rPr>
        <w:t>In [2], SA2 asks for RAN3</w:t>
      </w:r>
      <w:r>
        <w:rPr>
          <w:rFonts w:hint="default" w:ascii="Arial" w:hAnsi="Arial" w:cs="Arial"/>
          <w:sz w:val="20"/>
          <w:szCs w:val="20"/>
          <w:lang w:val="en-US" w:eastAsia="zh-CN"/>
        </w:rPr>
        <w:t>’</w:t>
      </w:r>
      <w:r>
        <w:rPr>
          <w:rFonts w:hint="eastAsia" w:ascii="Arial" w:hAnsi="Arial" w:cs="Arial"/>
          <w:sz w:val="20"/>
          <w:szCs w:val="20"/>
          <w:lang w:val="en-US" w:eastAsia="zh-CN"/>
        </w:rPr>
        <w:t>s view on the security of IP transport over satellite transport links.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Arial" w:hAnsi="Arial" w:cs="Arial"/>
              </w:rPr>
            </w:pPr>
            <w:r>
              <w:rPr>
                <w:rFonts w:ascii="Arial" w:hAnsi="Arial" w:cs="Arial"/>
              </w:rPr>
              <w:t xml:space="preserve">SA2 would like to inform SA3 that the transport network aspects raised by SA3 are outside SA2 scope. Reliability of the transport network via satellite transport links (i.e., feeder and ISL) is a deployment matter and as such it is not in 3GPP scope. SA2 assumes however that there is IP connectivity between the gNB/eNB on-board the satellite and the Core Network on the ground, via the feeder link and possibly also via ISL. SA2 further notes that some solutions in TR 23.700-29 assume that during the time a satellite is serving a PLMN, feeder link switchover may take place at which the feeder link is changed from an old NTN Gateway to a new NTN Gateway (resulting in gNB/eNB IP address change). </w:t>
            </w:r>
          </w:p>
          <w:p>
            <w:pPr>
              <w:rPr>
                <w:rFonts w:ascii="Arial" w:hAnsi="Arial" w:cs="Arial"/>
                <w:lang w:eastAsia="ko-KR"/>
              </w:rPr>
            </w:pPr>
            <w:r>
              <w:rPr>
                <w:rFonts w:ascii="Arial" w:hAnsi="Arial" w:cs="Arial"/>
              </w:rPr>
              <w:t xml:space="preserve">SA2 assumes that the IP transport allowing on-board eNB/gNB to communicate with ground-based 3GPP core network has to be reliable and support the mechanisms required for transport of N2 and S1 signalling. </w:t>
            </w:r>
          </w:p>
          <w:p>
            <w:pPr>
              <w:rPr>
                <w:rFonts w:hint="eastAsia" w:ascii="Arial" w:hAnsi="Arial" w:cs="Arial"/>
                <w:sz w:val="20"/>
                <w:szCs w:val="20"/>
                <w:vertAlign w:val="baseline"/>
                <w:lang w:val="en-US" w:eastAsia="zh-CN"/>
              </w:rPr>
            </w:pPr>
            <w:r>
              <w:rPr>
                <w:rFonts w:ascii="Arial" w:hAnsi="Arial" w:cs="Arial"/>
              </w:rPr>
              <w:t xml:space="preserve">SA2 would also like to point out that signalling transport and layer 1 specifications of N2 and S1 (including TSs 38.412 and 36.412) are in the scope of RAN3. SA2 would therefore like to give RAN3 the opportunity to provide feedback on SA3's LS.  </w:t>
            </w:r>
          </w:p>
        </w:tc>
      </w:tr>
    </w:tbl>
    <w:p>
      <w:pPr>
        <w:rPr>
          <w:rFonts w:hint="default" w:ascii="Arial" w:hAnsi="Arial" w:cs="Arial"/>
          <w:sz w:val="20"/>
          <w:szCs w:val="20"/>
          <w:lang w:val="en-US" w:eastAsia="zh-CN"/>
        </w:rPr>
      </w:pPr>
      <w:r>
        <w:rPr>
          <w:rFonts w:hint="eastAsia" w:ascii="Arial" w:hAnsi="Arial" w:cs="Arial"/>
          <w:sz w:val="20"/>
          <w:szCs w:val="20"/>
          <w:lang w:val="en-US" w:eastAsia="zh-CN"/>
        </w:rPr>
        <w:t>As given in TS 33.501[6], to protect the NG and Xn interface, the IPsec and DTLS are supported. And the IPsec is mandatory to implement on the gNB.</w:t>
      </w:r>
    </w:p>
    <w:p>
      <w:pPr>
        <w:rPr>
          <w:rFonts w:hint="eastAsia" w:ascii="Arial" w:hAnsi="Arial" w:cs="Arial"/>
          <w:sz w:val="20"/>
          <w:szCs w:val="20"/>
          <w:lang w:val="en-US" w:eastAsia="zh-CN"/>
        </w:rPr>
      </w:pPr>
      <w:r>
        <w:rPr>
          <w:rFonts w:hint="eastAsia" w:ascii="Arial" w:hAnsi="Arial" w:cs="Arial"/>
          <w:sz w:val="20"/>
          <w:szCs w:val="20"/>
          <w:lang w:val="en-US" w:eastAsia="zh-CN"/>
        </w:rPr>
        <w:t>-----------------------------------------------------------TS 33.501-----------------------------------------------------------------------</w:t>
      </w:r>
    </w:p>
    <w:p>
      <w:pPr>
        <w:bidi w:val="0"/>
        <w:rPr>
          <w:rFonts w:hint="default" w:ascii="Arial" w:hAnsi="Arial" w:cs="Arial"/>
          <w:sz w:val="32"/>
          <w:szCs w:val="32"/>
        </w:rPr>
      </w:pPr>
      <w:bookmarkStart w:id="3" w:name="_Toc51168254"/>
      <w:bookmarkStart w:id="4" w:name="_Toc45274997"/>
      <w:bookmarkStart w:id="5" w:name="_Toc45274410"/>
      <w:bookmarkStart w:id="6" w:name="_Toc35533392"/>
      <w:bookmarkStart w:id="7" w:name="_Toc19634805"/>
      <w:bookmarkStart w:id="8" w:name="_Toc45028745"/>
      <w:bookmarkStart w:id="9" w:name="_Toc35528631"/>
      <w:bookmarkStart w:id="10" w:name="_Toc161838245"/>
      <w:bookmarkStart w:id="11" w:name="_Toc26875865"/>
      <w:r>
        <w:rPr>
          <w:rFonts w:hint="default" w:ascii="Arial" w:hAnsi="Arial" w:cs="Arial"/>
          <w:sz w:val="32"/>
          <w:szCs w:val="32"/>
        </w:rPr>
        <w:t>9.2</w:t>
      </w:r>
      <w:r>
        <w:rPr>
          <w:rFonts w:hint="default" w:ascii="Arial" w:hAnsi="Arial" w:cs="Arial"/>
          <w:sz w:val="32"/>
          <w:szCs w:val="32"/>
        </w:rPr>
        <w:tab/>
      </w:r>
      <w:r>
        <w:rPr>
          <w:rFonts w:hint="default" w:ascii="Arial" w:hAnsi="Arial" w:cs="Arial"/>
          <w:sz w:val="32"/>
          <w:szCs w:val="32"/>
        </w:rPr>
        <w:t>Security mechanisms for the N2 interface</w:t>
      </w:r>
      <w:bookmarkEnd w:id="3"/>
      <w:bookmarkEnd w:id="4"/>
      <w:bookmarkEnd w:id="5"/>
      <w:bookmarkEnd w:id="6"/>
      <w:bookmarkEnd w:id="7"/>
      <w:bookmarkEnd w:id="8"/>
      <w:bookmarkEnd w:id="9"/>
      <w:bookmarkEnd w:id="10"/>
      <w:bookmarkEnd w:id="11"/>
    </w:p>
    <w:p>
      <w:r>
        <w:t>N2 is the reference point between the AMF and the 5G-AN. It is used, among other things, to carry NAS signalling traffic between the UE and the AMF over 3GPP and non-3GPP accesses.</w:t>
      </w:r>
    </w:p>
    <w:p>
      <w:r>
        <w:t>The transport of control plane data over N2 shall be integrity, confidentiality and replay-protected.</w:t>
      </w:r>
    </w:p>
    <w:p>
      <w:r>
        <w:rPr>
          <w:highlight w:val="yellow"/>
        </w:rPr>
        <w:t>In order to protect the N2 reference point, it is required to implement IPsec ESP and IKEv2 certificates-based authentication as specified in sub-clause 9.1.2 of the present document. IPsec is mandatory to implement on the gNB and the ng-eNB.</w:t>
      </w:r>
      <w:r>
        <w:t xml:space="preserve"> On the core network side, a SEG may be used to terminate the IPsec tunnel.</w:t>
      </w:r>
    </w:p>
    <w:p>
      <w:pPr>
        <w:rPr>
          <w:lang w:eastAsia="zh-CN"/>
        </w:rPr>
      </w:pPr>
      <w:r>
        <w:rPr>
          <w:highlight w:val="yellow"/>
        </w:rPr>
        <w:t>In addition to IPsec, D</w:t>
      </w:r>
      <w:r>
        <w:rPr>
          <w:highlight w:val="yellow"/>
          <w:lang w:eastAsia="zh-CN"/>
        </w:rPr>
        <w:t>TLS shall be supported as specified in RFC 6083 [58] to provide mutual authentication, integrity protection, replay protection and confidentiality protection.</w:t>
      </w:r>
      <w:r>
        <w:rPr>
          <w:lang w:eastAsia="zh-CN"/>
        </w:rPr>
        <w:t xml:space="preserve">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pPr>
        <w:rPr>
          <w:lang w:eastAsia="zh-CN"/>
        </w:rPr>
      </w:pPr>
      <w:r>
        <w:rPr>
          <w:lang w:eastAsia="zh-CN"/>
        </w:rPr>
        <w:t xml:space="preserve">Mutual authentication shall be supported over the N2 interface between the </w:t>
      </w:r>
      <w:r>
        <w:t>AMF and the 5G-AN</w:t>
      </w:r>
      <w:r>
        <w:rPr>
          <w:lang w:eastAsia="zh-CN"/>
        </w:rPr>
        <w:t xml:space="preserve"> using DTLS and/or IKEv2.</w:t>
      </w:r>
    </w:p>
    <w:p>
      <w:pPr>
        <w:bidi w:val="0"/>
        <w:rPr>
          <w:rFonts w:hint="default" w:ascii="Arial" w:hAnsi="Arial" w:cs="Arial"/>
          <w:sz w:val="32"/>
          <w:szCs w:val="32"/>
        </w:rPr>
      </w:pPr>
      <w:bookmarkStart w:id="12" w:name="_Toc45274412"/>
      <w:bookmarkStart w:id="13" w:name="_Toc19634807"/>
      <w:bookmarkStart w:id="14" w:name="_Toc35533394"/>
      <w:bookmarkStart w:id="15" w:name="_Toc161838247"/>
      <w:bookmarkStart w:id="16" w:name="_Toc35528633"/>
      <w:bookmarkStart w:id="17" w:name="_Toc26875867"/>
      <w:bookmarkStart w:id="18" w:name="_Toc45274999"/>
      <w:bookmarkStart w:id="19" w:name="_Toc45028747"/>
      <w:bookmarkStart w:id="20" w:name="_Toc51168256"/>
      <w:r>
        <w:rPr>
          <w:rFonts w:hint="default" w:ascii="Arial" w:hAnsi="Arial" w:cs="Arial"/>
          <w:sz w:val="32"/>
          <w:szCs w:val="32"/>
        </w:rPr>
        <w:t>9.4</w:t>
      </w:r>
      <w:r>
        <w:rPr>
          <w:rFonts w:hint="default" w:ascii="Arial" w:hAnsi="Arial" w:cs="Arial"/>
          <w:sz w:val="32"/>
          <w:szCs w:val="32"/>
        </w:rPr>
        <w:tab/>
      </w:r>
      <w:r>
        <w:rPr>
          <w:rFonts w:hint="default" w:ascii="Arial" w:hAnsi="Arial" w:cs="Arial"/>
          <w:sz w:val="32"/>
          <w:szCs w:val="32"/>
        </w:rPr>
        <w:t>Security mechanisms for the Xn interface</w:t>
      </w:r>
      <w:bookmarkEnd w:id="12"/>
      <w:bookmarkEnd w:id="13"/>
      <w:bookmarkEnd w:id="14"/>
      <w:bookmarkEnd w:id="15"/>
      <w:bookmarkEnd w:id="16"/>
      <w:bookmarkEnd w:id="17"/>
      <w:bookmarkEnd w:id="18"/>
      <w:bookmarkEnd w:id="19"/>
      <w:bookmarkEnd w:id="20"/>
    </w:p>
    <w:p>
      <w:r>
        <w:t>Xn is the interface connecting NG-RAN nodes. It consists of Xn-C and Xn-U. Xn-C is used to carry signalling and Xn-U user plane data.</w:t>
      </w:r>
    </w:p>
    <w:p>
      <w:r>
        <w:t>The transport of control plane data and user data over Xn shall be integrity, confidentiality and replay-protected.</w:t>
      </w:r>
    </w:p>
    <w:p>
      <w:pPr>
        <w:rPr>
          <w:highlight w:val="yellow"/>
        </w:rPr>
      </w:pPr>
      <w:r>
        <w:rPr>
          <w:highlight w:val="yellow"/>
        </w:rPr>
        <w:t xml:space="preserve">In order to protect the traffic on the Xn reference point, it is required to implement IPsec ESP and IKEv2 certificate- based authentication as specified in sub-clause 9.1.2 of the present document with confidentiality, integrity and replay protection. IPsec shall be supported on the gNB and ng-eNB. </w:t>
      </w:r>
    </w:p>
    <w:p>
      <w:pPr>
        <w:rPr>
          <w:lang w:eastAsia="zh-CN"/>
        </w:rPr>
      </w:pPr>
      <w:r>
        <w:rPr>
          <w:highlight w:val="yellow"/>
        </w:rPr>
        <w:t>In addition to IPsec, for the Xn-C interface, D</w:t>
      </w:r>
      <w:r>
        <w:rPr>
          <w:highlight w:val="yellow"/>
          <w:lang w:eastAsia="zh-CN"/>
        </w:rPr>
        <w:t>TLS shall be supported as specified in RFC 6083 [58] to provide mutual authentication, integrity protection, replay protection and confidentiality protection.</w:t>
      </w:r>
      <w:r>
        <w:rPr>
          <w:lang w:eastAsia="zh-CN"/>
        </w:rPr>
        <w:t xml:space="preserve">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pPr>
        <w:rPr>
          <w:lang w:eastAsia="zh-CN"/>
        </w:rPr>
      </w:pPr>
      <w:r>
        <w:rPr>
          <w:lang w:eastAsia="zh-CN"/>
        </w:rPr>
        <w:t xml:space="preserve">Mutual authentication shall be supported over the Xn interface between the </w:t>
      </w:r>
      <w:r>
        <w:t>NG-RAN nodes</w:t>
      </w:r>
      <w:r>
        <w:rPr>
          <w:lang w:eastAsia="zh-CN"/>
        </w:rPr>
        <w:t xml:space="preserve"> using DTLS and/or IKEv2.</w:t>
      </w:r>
    </w:p>
    <w:p>
      <w:pPr>
        <w:pStyle w:val="61"/>
      </w:pPr>
      <w:r>
        <w:t xml:space="preserve">NOTE 1: </w:t>
      </w:r>
      <w:r>
        <w:tab/>
      </w:r>
      <w:r>
        <w:t>The use of transport layer security, via DTLS, does not rule out the use of network layer protection according to NDS/IP as specified in TS 33.210 [3]. In fact, IPsec has the advantage of providing topology hiding..</w:t>
      </w:r>
    </w:p>
    <w:p>
      <w:pPr>
        <w:pStyle w:val="61"/>
      </w:pPr>
      <w:r>
        <w:t xml:space="preserve">NOTE 2: </w:t>
      </w:r>
      <w:r>
        <w:tab/>
      </w:r>
      <w:r>
        <w:t>The use of cryptographic solutions to protect Xn is an operator's decision. In case the NG-RAN node (gNB or ng-eNB) has been placed in a physically secured environment then the 'secure environment' includes other nodes and links beside the NG-RAN node.</w:t>
      </w:r>
    </w:p>
    <w:p>
      <w:pPr>
        <w:rPr>
          <w:lang w:eastAsia="zh-CN"/>
        </w:rPr>
      </w:pPr>
      <w:r>
        <w:t>QoS related aspects are further described in sub-clause 9.1.3 of the present document.</w:t>
      </w:r>
    </w:p>
    <w:p>
      <w:pPr>
        <w:rPr>
          <w:rFonts w:hint="eastAsia" w:ascii="Arial" w:hAnsi="Arial" w:cs="Arial"/>
          <w:sz w:val="20"/>
          <w:szCs w:val="20"/>
          <w:lang w:val="en-US" w:eastAsia="zh-CN"/>
        </w:rPr>
      </w:pPr>
      <w:r>
        <w:rPr>
          <w:rFonts w:hint="eastAsia" w:ascii="Arial" w:hAnsi="Arial" w:cs="Arial"/>
          <w:sz w:val="20"/>
          <w:szCs w:val="20"/>
          <w:lang w:val="en-US" w:eastAsia="zh-CN"/>
        </w:rPr>
        <w:t>--------------------------------------------------------TS 33.501--------------------------------------------------------------------------</w:t>
      </w:r>
    </w:p>
    <w:p>
      <w:pPr>
        <w:rPr>
          <w:rFonts w:hint="default" w:ascii="Arial" w:hAnsi="Arial" w:cs="Arial"/>
          <w:sz w:val="20"/>
          <w:szCs w:val="20"/>
          <w:lang w:val="en-US" w:eastAsia="zh-CN"/>
        </w:rPr>
      </w:pPr>
      <w:r>
        <w:rPr>
          <w:rFonts w:hint="eastAsia" w:ascii="Arial" w:hAnsi="Arial" w:cs="Arial"/>
          <w:sz w:val="20"/>
          <w:szCs w:val="20"/>
          <w:lang w:val="en-US" w:eastAsia="zh-CN"/>
        </w:rPr>
        <w:t>With the establishment of IPsec and DTLS, the security of the transport layer can be guaranteed. And the NGAP protocol can be set up on the top of the safe TNL link. Every time the feeder link switch over happens, the IPsec and DTLS will be (re-)established to guarantee the security of the transport layer. In this case, the IP connectivity could be supported between the on-board gNB between the ground-based core network, which just follows the legacy TN.</w:t>
      </w:r>
    </w:p>
    <w:p>
      <w:pPr>
        <w:rPr>
          <w:rFonts w:hint="default" w:ascii="Arial" w:hAnsi="Arial" w:cs="Arial"/>
          <w:sz w:val="20"/>
          <w:szCs w:val="20"/>
          <w:lang w:val="en-US" w:eastAsia="zh-CN"/>
        </w:rPr>
      </w:pPr>
      <w:r>
        <w:rPr>
          <w:rFonts w:hint="eastAsia" w:ascii="Arial" w:hAnsi="Arial" w:cs="Arial"/>
          <w:sz w:val="20"/>
          <w:szCs w:val="20"/>
          <w:lang w:val="en-US" w:eastAsia="zh-CN"/>
        </w:rPr>
        <w:t>Similarly, for S1 and X2 interface, the IPsec is also supported as given in TS 33.401[7].</w:t>
      </w:r>
    </w:p>
    <w:p>
      <w:pPr>
        <w:rPr>
          <w:rFonts w:hint="default" w:ascii="Arial" w:hAnsi="Arial" w:cs="Arial"/>
          <w:sz w:val="20"/>
          <w:szCs w:val="20"/>
          <w:lang w:val="en-US" w:eastAsia="zh-CN"/>
        </w:rPr>
      </w:pPr>
      <w:r>
        <w:rPr>
          <w:rFonts w:hint="eastAsia" w:ascii="Arial" w:hAnsi="Arial" w:cs="Arial"/>
          <w:sz w:val="20"/>
          <w:szCs w:val="20"/>
          <w:lang w:val="en-US" w:eastAsia="zh-CN"/>
        </w:rPr>
        <w:t>--------------------------------------------------------TS 33.401--------------------------------------------------------------------------</w:t>
      </w:r>
    </w:p>
    <w:p>
      <w:pPr>
        <w:bidi w:val="0"/>
        <w:rPr>
          <w:rFonts w:hint="default" w:ascii="Arial" w:hAnsi="Arial" w:cs="Arial"/>
          <w:sz w:val="32"/>
          <w:szCs w:val="32"/>
        </w:rPr>
      </w:pPr>
      <w:bookmarkStart w:id="21" w:name="_Toc35439235"/>
      <w:bookmarkStart w:id="22" w:name="_Toc11226402"/>
      <w:bookmarkStart w:id="23" w:name="_Toc26800096"/>
      <w:bookmarkStart w:id="24" w:name="_Toc35438904"/>
      <w:bookmarkStart w:id="25" w:name="_Toc106360730"/>
      <w:r>
        <w:rPr>
          <w:rFonts w:hint="default" w:ascii="Arial" w:hAnsi="Arial" w:cs="Arial"/>
          <w:sz w:val="32"/>
          <w:szCs w:val="32"/>
        </w:rPr>
        <w:t>11</w:t>
      </w:r>
      <w:r>
        <w:rPr>
          <w:rFonts w:hint="default" w:ascii="Arial" w:hAnsi="Arial" w:cs="Arial"/>
          <w:sz w:val="32"/>
          <w:szCs w:val="32"/>
        </w:rPr>
        <w:tab/>
      </w:r>
      <w:r>
        <w:rPr>
          <w:rFonts w:hint="default" w:ascii="Arial" w:hAnsi="Arial" w:cs="Arial"/>
          <w:sz w:val="32"/>
          <w:szCs w:val="32"/>
        </w:rPr>
        <w:t>Network Domain Control Plane protection</w:t>
      </w:r>
      <w:bookmarkEnd w:id="21"/>
      <w:bookmarkEnd w:id="22"/>
      <w:bookmarkEnd w:id="23"/>
      <w:bookmarkEnd w:id="24"/>
      <w:bookmarkEnd w:id="25"/>
    </w:p>
    <w:p>
      <w:pPr>
        <w:rPr>
          <w:color w:val="000000"/>
        </w:rPr>
      </w:pPr>
      <w:r>
        <w:rPr>
          <w:color w:val="000000"/>
        </w:rPr>
        <w:t>The protection of IP based control plane signalling for EPS and E-UTRAN shall be done according to NDS/IP as specified in</w:t>
      </w:r>
      <w:r>
        <w:t xml:space="preserve"> </w:t>
      </w:r>
      <w:r>
        <w:rPr>
          <w:color w:val="000000"/>
        </w:rPr>
        <w:t>TS 33.210 [5].</w:t>
      </w:r>
      <w:r>
        <w:t xml:space="preserve"> </w:t>
      </w:r>
      <w:r>
        <w:rPr>
          <w:color w:val="000000"/>
        </w:rPr>
        <w:t>S3, S6a and S10 interfaces carry subscriber specific sensitive data, e.g. cryptographic keys. Thus in addition to the mandatory integrity protection according to NDS/IP, traffic on these interfaces shall be confidentiality-protected according to NDS/IP.</w:t>
      </w:r>
    </w:p>
    <w:p>
      <w:pPr>
        <w:pStyle w:val="30"/>
        <w:rPr>
          <w:color w:val="000000"/>
        </w:rPr>
      </w:pPr>
      <w:r>
        <w:rPr>
          <w:color w:val="000000"/>
          <w:highlight w:val="yellow"/>
        </w:rPr>
        <w:t>In order to protect the S1 and X2 control plane as required by clause 5.3.</w:t>
      </w:r>
      <w:r>
        <w:rPr>
          <w:rFonts w:hint="eastAsia"/>
          <w:color w:val="000000"/>
          <w:highlight w:val="yellow"/>
          <w:lang w:eastAsia="zh-CN"/>
        </w:rPr>
        <w:t>4</w:t>
      </w:r>
      <w:r>
        <w:rPr>
          <w:color w:val="000000"/>
          <w:highlight w:val="yellow"/>
          <w:lang w:eastAsia="zh-CN"/>
        </w:rPr>
        <w:t>a</w:t>
      </w:r>
      <w:r>
        <w:rPr>
          <w:color w:val="000000"/>
          <w:highlight w:val="yellow"/>
        </w:rPr>
        <w:t>, it is required to implement IPsec ESP according to RFC 4303 [7] as specified by TS 33.210 [5].</w:t>
      </w:r>
      <w:r>
        <w:rPr>
          <w:color w:val="000000"/>
        </w:rPr>
        <w:t xml:space="preserve"> For both S1-MME and X2-C, IKEv2 certificates based authentication according to TS 33.310 [6] shall be implemented. For S1-MME and X2-C, </w:t>
      </w:r>
      <w:r>
        <w:rPr>
          <w:rFonts w:eastAsia="宋体"/>
          <w:color w:val="000000"/>
          <w:lang w:eastAsia="zh-CN"/>
        </w:rPr>
        <w:t>tunnel mode IPsec is mandatory to implement on the eNB. On the core network side a SEG may be used to terminate the IPsec tunnel.</w:t>
      </w:r>
    </w:p>
    <w:p>
      <w:pPr>
        <w:pStyle w:val="61"/>
        <w:rPr>
          <w:rFonts w:eastAsia="MS Mincho"/>
          <w:color w:val="000000"/>
        </w:rPr>
      </w:pPr>
      <w:r>
        <w:rPr>
          <w:color w:val="000000"/>
        </w:rPr>
        <w:t>NOTE 1:</w:t>
      </w:r>
      <w:r>
        <w:rPr>
          <w:color w:val="000000"/>
        </w:rPr>
        <w:tab/>
      </w:r>
      <w:r>
        <w:rPr>
          <w:color w:val="000000"/>
        </w:rPr>
        <w:t>In case control plane interfaces are trusted (e.g. physically protected), there is no need to use protection according to TS 33.210 [5]</w:t>
      </w:r>
      <w:r>
        <w:rPr>
          <w:rFonts w:hint="eastAsia"/>
          <w:color w:val="000000"/>
          <w:lang w:eastAsia="zh-CN"/>
        </w:rPr>
        <w:t xml:space="preserve"> and TS 33.310 [6]</w:t>
      </w:r>
      <w:r>
        <w:rPr>
          <w:color w:val="000000"/>
        </w:rPr>
        <w:t>.</w:t>
      </w:r>
    </w:p>
    <w:p>
      <w:pPr>
        <w:spacing w:before="100" w:beforeAutospacing="1" w:after="100" w:afterAutospacing="1"/>
        <w:rPr>
          <w:rFonts w:eastAsia="宋体"/>
          <w:color w:val="000000"/>
          <w:lang w:eastAsia="zh-CN"/>
        </w:rPr>
      </w:pPr>
      <w:r>
        <w:rPr>
          <w:rFonts w:eastAsia="宋体"/>
          <w:color w:val="000000"/>
          <w:lang w:eastAsia="zh-CN"/>
        </w:rPr>
        <w:t>Transport mode IPsec is optional for implementation on the X2-C and S1-MME.</w:t>
      </w:r>
    </w:p>
    <w:p>
      <w:pPr>
        <w:pStyle w:val="61"/>
        <w:rPr>
          <w:rFonts w:eastAsia="宋体"/>
          <w:color w:val="000000"/>
          <w:lang w:eastAsia="zh-CN"/>
        </w:rPr>
      </w:pPr>
      <w:r>
        <w:rPr>
          <w:rFonts w:eastAsia="宋体"/>
          <w:color w:val="000000"/>
          <w:lang w:eastAsia="zh-CN"/>
        </w:rPr>
        <w:t>NOTE 2:</w:t>
      </w:r>
      <w:r>
        <w:rPr>
          <w:rFonts w:eastAsia="宋体"/>
          <w:color w:val="000000"/>
          <w:lang w:eastAsia="zh-CN"/>
        </w:rPr>
        <w:tab/>
      </w:r>
      <w:r>
        <w:rPr>
          <w:rFonts w:eastAsia="宋体"/>
          <w:color w:val="000000"/>
          <w:lang w:eastAsia="zh-CN"/>
        </w:rPr>
        <w:t xml:space="preserve">Transport mode can be used for reducing the protocol overhead added by IPsec. </w:t>
      </w:r>
    </w:p>
    <w:p>
      <w:pPr>
        <w:rPr>
          <w:rFonts w:hint="default" w:ascii="Arial" w:hAnsi="Arial" w:cs="Arial"/>
          <w:sz w:val="20"/>
          <w:szCs w:val="20"/>
          <w:lang w:val="en-US" w:eastAsia="zh-CN"/>
        </w:rPr>
      </w:pPr>
      <w:r>
        <w:rPr>
          <w:rFonts w:hint="eastAsia" w:ascii="Arial" w:hAnsi="Arial" w:cs="Arial"/>
          <w:sz w:val="20"/>
          <w:szCs w:val="20"/>
          <w:lang w:val="en-US" w:eastAsia="zh-CN"/>
        </w:rPr>
        <w:t>--------------------------------------------------------TS 33.401--------------------------------------------------------------------------</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5: RAN3 assumes that the IP connectivity is supported between the on-board eNB/gNB and the ground-based 3GPP core network.</w:t>
      </w:r>
    </w:p>
    <w:p>
      <w:pPr>
        <w:pStyle w:val="3"/>
        <w:bidi w:val="0"/>
        <w:rPr>
          <w:rFonts w:hint="default"/>
          <w:b/>
          <w:bCs/>
          <w:sz w:val="20"/>
          <w:szCs w:val="20"/>
          <w:lang w:val="en-US" w:eastAsia="zh-CN"/>
        </w:rPr>
      </w:pPr>
      <w:r>
        <w:rPr>
          <w:rFonts w:hint="eastAsia"/>
          <w:sz w:val="28"/>
          <w:szCs w:val="18"/>
          <w:lang w:val="en-US" w:eastAsia="zh-CN"/>
        </w:rPr>
        <w:t>2.3  NTN architecture in Rel-19</w:t>
      </w:r>
    </w:p>
    <w:p>
      <w:pPr>
        <w:rPr>
          <w:rFonts w:hint="default" w:ascii="Arial" w:hAnsi="Arial" w:cs="Arial"/>
          <w:sz w:val="20"/>
          <w:szCs w:val="20"/>
          <w:lang w:val="en-US" w:eastAsia="zh-CN"/>
        </w:rPr>
      </w:pPr>
      <w:r>
        <w:rPr>
          <w:rFonts w:hint="eastAsia" w:ascii="Arial" w:hAnsi="Arial" w:cs="Arial"/>
          <w:sz w:val="20"/>
          <w:szCs w:val="20"/>
          <w:lang w:val="en-US" w:eastAsia="zh-CN"/>
        </w:rPr>
        <w:t>Considering the NTN architecture in Rel-19, since the new candidate solutions are still under discussion in SA2, RAN3 cannot discuss the details without the clear instruction from SA2. Therefore, in current stage, RAN3 should focus on the legacy architecture which aligns with Rel-17 and Rel-18, and the architecture given in [8] can be taken as the baseline. Any other new NTN architecture should not be discussed until SA2 makes the final decision.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 xml:space="preserve">Proposal 6: At this stage, RAN3 shall only focus on the legacy NTN architecture which aligns with Rel-17 and Rel-18. </w:t>
      </w:r>
    </w:p>
    <w:p>
      <w:pPr>
        <w:pStyle w:val="2"/>
        <w:ind w:left="0" w:leftChars="0" w:firstLine="0" w:firstLineChars="0"/>
        <w:rPr>
          <w:lang w:val="en-US"/>
        </w:rPr>
      </w:pPr>
      <w:r>
        <w:rPr>
          <w:rFonts w:hint="eastAsia"/>
          <w:lang w:val="en-US" w:eastAsia="zh-CN"/>
        </w:rPr>
        <w:t>3  Conclusion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Observation : RAN3 shall focus on the management of NG connection in this meeting.</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1: The NG Suspend/Resume mechanism should be applied for the management of NG connection.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eastAsia="宋体" w:cs="Arial"/>
          <w:i w:val="0"/>
          <w:iCs w:val="0"/>
          <w:caps w:val="0"/>
          <w:color w:val="000000"/>
          <w:spacing w:val="0"/>
          <w:sz w:val="20"/>
          <w:szCs w:val="20"/>
          <w:shd w:val="clear" w:fill="FFFFFF"/>
          <w:lang w:val="en-US" w:eastAsia="zh-CN"/>
        </w:rPr>
      </w:pPr>
    </w:p>
    <w:p>
      <w:pPr>
        <w:pStyle w:val="86"/>
        <w:keepNext w:val="0"/>
        <w:keepLines w:val="0"/>
        <w:pageBreakBefore w:val="0"/>
        <w:widowControl/>
        <w:kinsoku/>
        <w:wordWrap/>
        <w:overflowPunct/>
        <w:topLinePunct w:val="0"/>
        <w:autoSpaceDE/>
        <w:autoSpaceDN/>
        <w:bidi w:val="0"/>
        <w:adjustRightInd/>
        <w:snapToGrid/>
        <w:spacing w:after="0"/>
        <w:ind w:right="200" w:rightChars="100"/>
        <w:textAlignment w:val="auto"/>
        <w:rPr>
          <w:rFonts w:hint="eastAsia"/>
          <w:b/>
          <w:bCs/>
          <w:sz w:val="20"/>
          <w:szCs w:val="20"/>
          <w:lang w:val="en-US" w:eastAsia="zh-CN"/>
        </w:rPr>
      </w:pPr>
      <w:r>
        <w:rPr>
          <w:rFonts w:hint="eastAsia"/>
          <w:b/>
          <w:bCs/>
          <w:sz w:val="20"/>
          <w:szCs w:val="20"/>
          <w:lang w:val="en-US" w:eastAsia="zh-CN"/>
        </w:rPr>
        <w:t>Proposal 2: The case of gNB IP address changes due to soft feeder link switch can be supported by the existing NGAP RAN Configuration Update procedure.</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p>
    <w:p>
      <w:pPr>
        <w:pStyle w:val="86"/>
        <w:keepNext w:val="0"/>
        <w:keepLines w:val="0"/>
        <w:pageBreakBefore w:val="0"/>
        <w:widowControl/>
        <w:kinsoku/>
        <w:wordWrap/>
        <w:overflowPunct/>
        <w:topLinePunct w:val="0"/>
        <w:autoSpaceDE/>
        <w:autoSpaceDN/>
        <w:bidi w:val="0"/>
        <w:adjustRightInd/>
        <w:snapToGrid/>
        <w:spacing w:after="0"/>
        <w:ind w:right="200" w:rightChars="100"/>
        <w:textAlignment w:val="auto"/>
        <w:rPr>
          <w:rFonts w:hint="eastAsia"/>
          <w:b/>
          <w:bCs/>
          <w:sz w:val="20"/>
          <w:szCs w:val="20"/>
          <w:lang w:val="en-US" w:eastAsia="zh-CN"/>
        </w:rPr>
      </w:pPr>
      <w:r>
        <w:rPr>
          <w:rFonts w:hint="eastAsia"/>
          <w:b/>
          <w:bCs/>
          <w:sz w:val="20"/>
          <w:szCs w:val="20"/>
          <w:lang w:val="en-US" w:eastAsia="zh-CN"/>
        </w:rPr>
        <w:t>Proposal 3: The case of eNB IP address changes due to soft feeder link switch cannot be supported by the existing S1AP procedure.</w:t>
      </w:r>
    </w:p>
    <w:p>
      <w:pPr>
        <w:pStyle w:val="86"/>
        <w:keepNext w:val="0"/>
        <w:keepLines w:val="0"/>
        <w:pageBreakBefore w:val="0"/>
        <w:widowControl/>
        <w:kinsoku/>
        <w:wordWrap/>
        <w:overflowPunct/>
        <w:topLinePunct w:val="0"/>
        <w:autoSpaceDE/>
        <w:autoSpaceDN/>
        <w:bidi w:val="0"/>
        <w:adjustRightInd/>
        <w:snapToGrid/>
        <w:spacing w:after="0"/>
        <w:ind w:right="200" w:rightChars="100"/>
        <w:textAlignment w:val="auto"/>
        <w:rPr>
          <w:rFonts w:hint="eastAsia"/>
          <w:b/>
          <w:bCs/>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ind w:right="200" w:rightChars="100"/>
        <w:textAlignment w:val="auto"/>
        <w:rPr>
          <w:rFonts w:hint="eastAsia"/>
          <w:b/>
          <w:bCs/>
          <w:sz w:val="20"/>
          <w:szCs w:val="20"/>
          <w:lang w:val="en-US" w:eastAsia="zh-CN"/>
        </w:rPr>
      </w:pPr>
      <w:r>
        <w:rPr>
          <w:rFonts w:hint="eastAsia"/>
          <w:b/>
          <w:bCs/>
          <w:sz w:val="20"/>
          <w:szCs w:val="20"/>
          <w:lang w:val="en-US" w:eastAsia="zh-CN"/>
        </w:rPr>
        <w:t>Proposal 4: The AMF/MME can treat the Mapped Cell ID as in previous releases.</w:t>
      </w:r>
    </w:p>
    <w:p>
      <w:pPr>
        <w:pStyle w:val="86"/>
        <w:keepNext w:val="0"/>
        <w:keepLines w:val="0"/>
        <w:pageBreakBefore w:val="0"/>
        <w:widowControl/>
        <w:kinsoku/>
        <w:wordWrap/>
        <w:overflowPunct/>
        <w:topLinePunct w:val="0"/>
        <w:autoSpaceDE/>
        <w:autoSpaceDN/>
        <w:bidi w:val="0"/>
        <w:adjustRightInd/>
        <w:snapToGrid/>
        <w:spacing w:after="0"/>
        <w:ind w:right="200" w:rightChars="100"/>
        <w:textAlignment w:val="auto"/>
        <w:rPr>
          <w:rFonts w:hint="eastAsia"/>
          <w:b/>
          <w:bCs/>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5: RAN3 assumes the IP connectivity is supported between the on-board eNB/gNB and the ground-based 3GPP core network.</w:t>
      </w:r>
    </w:p>
    <w:p>
      <w:pPr>
        <w:pStyle w:val="86"/>
        <w:keepNext w:val="0"/>
        <w:keepLines w:val="0"/>
        <w:pageBreakBefore w:val="0"/>
        <w:widowControl/>
        <w:kinsoku/>
        <w:wordWrap/>
        <w:overflowPunct/>
        <w:topLinePunct w:val="0"/>
        <w:autoSpaceDE/>
        <w:autoSpaceDN/>
        <w:bidi w:val="0"/>
        <w:adjustRightInd/>
        <w:snapToGrid/>
        <w:spacing w:after="0"/>
        <w:ind w:right="200" w:rightChars="100"/>
        <w:textAlignment w:val="auto"/>
        <w:rPr>
          <w:rFonts w:hint="eastAsia"/>
          <w:b/>
          <w:bCs/>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 xml:space="preserve">Proposal 6: At this stage, RAN3 shall only focus on the legacy NTN architecture which aligns with Rel-17 and Rel-18. </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p>
    <w:p>
      <w:pPr>
        <w:pStyle w:val="86"/>
        <w:spacing w:after="0"/>
        <w:rPr>
          <w:rFonts w:hint="eastAsia"/>
          <w:b w:val="0"/>
          <w:bCs w:val="0"/>
          <w:sz w:val="21"/>
          <w:szCs w:val="21"/>
          <w:lang w:val="en-US" w:eastAsia="zh-CN"/>
        </w:rPr>
      </w:pPr>
      <w:r>
        <w:rPr>
          <w:rFonts w:hint="eastAsia"/>
          <w:b w:val="0"/>
          <w:bCs w:val="0"/>
          <w:sz w:val="21"/>
          <w:szCs w:val="21"/>
          <w:lang w:val="en-US" w:eastAsia="zh-CN"/>
        </w:rPr>
        <w:t>The two corresponding draft liaisons are given in the Annex.</w:t>
      </w:r>
    </w:p>
    <w:p>
      <w:pPr>
        <w:pStyle w:val="2"/>
        <w:rPr>
          <w:rFonts w:cs="Arial"/>
          <w:lang w:val="en-US" w:eastAsia="zh-CN"/>
        </w:rPr>
      </w:pPr>
      <w:r>
        <w:rPr>
          <w:rFonts w:cs="Arial"/>
          <w:lang w:val="en-US"/>
        </w:rPr>
        <w:t>References</w:t>
      </w:r>
    </w:p>
    <w:p>
      <w:pPr>
        <w:numPr>
          <w:ilvl w:val="0"/>
          <w:numId w:val="2"/>
        </w:numPr>
        <w:ind w:left="284" w:hanging="284" w:hangingChars="142"/>
        <w:rPr>
          <w:rFonts w:hint="default" w:ascii="Arial" w:hAnsi="Arial" w:cs="Arial"/>
          <w:szCs w:val="15"/>
          <w:lang w:val="en-US" w:eastAsia="zh-CN"/>
        </w:rPr>
      </w:pPr>
      <w:bookmarkStart w:id="26" w:name="OLE_LINK1"/>
      <w:r>
        <w:rPr>
          <w:rFonts w:hint="eastAsia" w:ascii="Arial" w:hAnsi="Arial" w:cs="Arial"/>
          <w:szCs w:val="15"/>
          <w:lang w:val="en-US" w:eastAsia="zh-CN"/>
        </w:rPr>
        <w:t xml:space="preserve">R3-243017, LS on Support of Regenerative-based Satellite Access, </w:t>
      </w:r>
      <w:bookmarkEnd w:id="26"/>
      <w:r>
        <w:rPr>
          <w:rFonts w:hint="eastAsia" w:ascii="Arial" w:hAnsi="Arial" w:cs="Arial"/>
          <w:szCs w:val="15"/>
          <w:lang w:val="en-US" w:eastAsia="zh-CN"/>
        </w:rPr>
        <w:t>SA2</w:t>
      </w:r>
    </w:p>
    <w:p>
      <w:pPr>
        <w:numPr>
          <w:ilvl w:val="0"/>
          <w:numId w:val="2"/>
        </w:numPr>
        <w:ind w:left="284" w:hanging="284" w:hangingChars="142"/>
        <w:rPr>
          <w:rFonts w:hint="default" w:ascii="Arial" w:hAnsi="Arial" w:eastAsia="Times New Roman" w:cs="Arial"/>
          <w:szCs w:val="15"/>
          <w:lang w:val="en-US" w:eastAsia="zh-CN"/>
        </w:rPr>
      </w:pPr>
      <w:r>
        <w:rPr>
          <w:rFonts w:hint="eastAsia" w:ascii="Arial" w:hAnsi="Arial" w:cs="Arial"/>
          <w:szCs w:val="15"/>
          <w:lang w:val="en-US" w:eastAsia="zh-CN"/>
        </w:rPr>
        <w:t>R3-24302</w:t>
      </w:r>
      <w:r>
        <w:rPr>
          <w:rFonts w:hint="eastAsia" w:ascii="Arial" w:hAnsi="Arial" w:eastAsia="Times New Roman" w:cs="Arial"/>
          <w:szCs w:val="15"/>
          <w:lang w:val="en-US" w:eastAsia="zh-CN"/>
        </w:rPr>
        <w:t>3, Reply LS on security of IP transport over satellite transport links, SA3</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TS 38.412 v18.0.0</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TS 36.412 v18.0.0</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TS 38.300 v18.1.0</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TS 33.501 v18.5.0</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TS 33.401 v18.0.0</w:t>
      </w:r>
    </w:p>
    <w:p>
      <w:pPr>
        <w:numPr>
          <w:ilvl w:val="0"/>
          <w:numId w:val="2"/>
        </w:numPr>
        <w:ind w:left="284" w:hanging="284" w:hangingChars="142"/>
        <w:rPr>
          <w:rFonts w:hint="default" w:ascii="Arial" w:hAnsi="Arial" w:eastAsia="Times New Roman" w:cs="Arial"/>
          <w:szCs w:val="15"/>
          <w:lang w:val="en-US" w:eastAsia="zh-CN"/>
        </w:rPr>
      </w:pPr>
      <w:r>
        <w:rPr>
          <w:rFonts w:hint="eastAsia" w:ascii="Arial" w:hAnsi="Arial" w:cs="Arial"/>
          <w:szCs w:val="15"/>
          <w:lang w:val="en-US" w:eastAsia="zh-CN"/>
        </w:rPr>
        <w:t>R3-242044</w:t>
      </w:r>
      <w:r>
        <w:rPr>
          <w:rFonts w:hint="eastAsia" w:ascii="Arial" w:hAnsi="Arial" w:eastAsia="Times New Roman" w:cs="Arial"/>
          <w:szCs w:val="15"/>
          <w:lang w:val="en-US" w:eastAsia="zh-CN"/>
        </w:rPr>
        <w:t>,</w:t>
      </w:r>
      <w:r>
        <w:rPr>
          <w:rFonts w:hint="eastAsia" w:ascii="Arial" w:hAnsi="Arial" w:cs="Arial"/>
          <w:szCs w:val="15"/>
          <w:lang w:val="en-US" w:eastAsia="zh-CN"/>
        </w:rPr>
        <w:t xml:space="preserve"> </w:t>
      </w:r>
      <w:r>
        <w:rPr>
          <w:rFonts w:hint="eastAsia" w:ascii="Arial" w:hAnsi="Arial" w:cs="Arial"/>
          <w:szCs w:val="15"/>
          <w:lang w:val="en-US" w:eastAsia="zh-CN"/>
        </w:rPr>
        <w:fldChar w:fldCharType="begin"/>
      </w:r>
      <w:r>
        <w:rPr>
          <w:rFonts w:hint="eastAsia" w:ascii="Arial" w:hAnsi="Arial" w:cs="Arial"/>
          <w:szCs w:val="15"/>
          <w:lang w:val="en-US" w:eastAsia="zh-CN"/>
        </w:rPr>
        <w:instrText xml:space="preserve"> DOCPROPERTY  CrTitle  \* MERGEFORMAT </w:instrText>
      </w:r>
      <w:r>
        <w:rPr>
          <w:rFonts w:hint="eastAsia" w:ascii="Arial" w:hAnsi="Arial" w:cs="Arial"/>
          <w:szCs w:val="15"/>
          <w:lang w:val="en-US" w:eastAsia="zh-CN"/>
        </w:rPr>
        <w:fldChar w:fldCharType="separate"/>
      </w:r>
      <w:r>
        <w:rPr>
          <w:rFonts w:hint="eastAsia" w:ascii="Arial" w:hAnsi="Arial" w:cs="Arial"/>
          <w:szCs w:val="15"/>
          <w:lang w:val="en-US" w:eastAsia="zh-CN"/>
        </w:rPr>
        <w:t>Support for Regenerative Payload in NR NTN</w:t>
      </w:r>
      <w:r>
        <w:rPr>
          <w:rFonts w:hint="eastAsia" w:ascii="Arial" w:hAnsi="Arial" w:cs="Arial"/>
          <w:szCs w:val="15"/>
          <w:lang w:val="en-US" w:eastAsia="zh-CN"/>
        </w:rPr>
        <w:fldChar w:fldCharType="end"/>
      </w:r>
      <w:r>
        <w:rPr>
          <w:rFonts w:hint="eastAsia" w:ascii="Arial" w:hAnsi="Arial" w:cs="Arial"/>
          <w:szCs w:val="15"/>
          <w:lang w:val="en-US" w:eastAsia="zh-CN"/>
        </w:rPr>
        <w:t>, Ericsson</w:t>
      </w:r>
    </w:p>
    <w:p>
      <w:pPr>
        <w:pStyle w:val="2"/>
        <w:rPr>
          <w:rFonts w:hint="default" w:eastAsia="宋体" w:cs="Arial"/>
          <w:lang w:val="en-US" w:eastAsia="zh-CN"/>
        </w:rPr>
      </w:pPr>
      <w:r>
        <w:rPr>
          <w:rFonts w:hint="eastAsia" w:eastAsia="宋体" w:cs="Arial"/>
          <w:lang w:val="en-US" w:eastAsia="zh-CN"/>
        </w:rPr>
        <w:t>Annex 1</w:t>
      </w:r>
    </w:p>
    <w:p>
      <w:pPr>
        <w:pStyle w:val="119"/>
        <w:rPr>
          <w:rFonts w:hint="default" w:eastAsia="宋体"/>
          <w:lang w:val="en-US" w:eastAsia="zh-CN"/>
        </w:rPr>
      </w:pPr>
      <w:r>
        <w:t>3GPP TSG-</w:t>
      </w:r>
      <w:r>
        <w:rPr>
          <w:szCs w:val="24"/>
        </w:rPr>
        <w:t>RAN WG3 Meeting #12</w:t>
      </w:r>
      <w:r>
        <w:rPr>
          <w:rFonts w:hint="eastAsia" w:eastAsia="宋体"/>
          <w:szCs w:val="24"/>
          <w:lang w:val="en-US" w:eastAsia="zh-CN"/>
        </w:rPr>
        <w:t>4</w:t>
      </w:r>
      <w:r>
        <w:tab/>
      </w:r>
      <w:r>
        <w:rPr>
          <w:lang w:eastAsia="ja-JP"/>
        </w:rPr>
        <w:t>R3-2</w:t>
      </w:r>
      <w:r>
        <w:rPr>
          <w:rFonts w:hint="eastAsia" w:eastAsia="宋体"/>
          <w:lang w:val="en-US" w:eastAsia="zh-CN"/>
        </w:rPr>
        <w:t>4xxxx</w:t>
      </w:r>
    </w:p>
    <w:p>
      <w:pPr>
        <w:pStyle w:val="119"/>
        <w:rPr>
          <w:rFonts w:hint="eastAsia" w:eastAsia="宋体"/>
          <w:lang w:eastAsia="zh-CN"/>
        </w:rPr>
      </w:pPr>
      <w:r>
        <w:rPr>
          <w:rFonts w:hint="eastAsia" w:eastAsia="宋体"/>
          <w:szCs w:val="24"/>
          <w:lang w:val="en-US" w:eastAsia="zh-CN"/>
        </w:rPr>
        <w:t>Fukuoka</w:t>
      </w:r>
      <w:r>
        <w:rPr>
          <w:szCs w:val="24"/>
        </w:rPr>
        <w:t xml:space="preserve">, </w:t>
      </w:r>
      <w:r>
        <w:rPr>
          <w:rFonts w:hint="eastAsia" w:eastAsia="宋体"/>
          <w:szCs w:val="24"/>
          <w:lang w:val="en-US" w:eastAsia="zh-CN"/>
        </w:rPr>
        <w:t>Japan</w:t>
      </w:r>
      <w:r>
        <w:rPr>
          <w:szCs w:val="24"/>
        </w:rPr>
        <w:t xml:space="preserve">, </w:t>
      </w:r>
      <w:r>
        <w:rPr>
          <w:rFonts w:hint="eastAsia" w:eastAsia="宋体"/>
          <w:lang w:val="en-US" w:eastAsia="zh-CN"/>
        </w:rPr>
        <w:t>20</w:t>
      </w:r>
      <w:r>
        <w:rPr>
          <w:rFonts w:hint="eastAsia" w:eastAsia="宋体"/>
          <w:vertAlign w:val="superscript"/>
          <w:lang w:val="en-US" w:eastAsia="zh-CN"/>
        </w:rPr>
        <w:t>th</w:t>
      </w:r>
      <w:r>
        <w:t xml:space="preserve"> – </w:t>
      </w:r>
      <w:r>
        <w:rPr>
          <w:rFonts w:hint="eastAsia" w:eastAsia="宋体"/>
          <w:lang w:val="en-US" w:eastAsia="zh-CN"/>
        </w:rPr>
        <w:t>24</w:t>
      </w:r>
      <w:r>
        <w:rPr>
          <w:vertAlign w:val="superscript"/>
        </w:rPr>
        <w:t>th</w:t>
      </w:r>
      <w:r>
        <w:t xml:space="preserve"> </w:t>
      </w:r>
      <w:r>
        <w:rPr>
          <w:rFonts w:hint="eastAsia" w:eastAsia="宋体"/>
          <w:lang w:val="en-US" w:eastAsia="zh-CN"/>
        </w:rPr>
        <w:t>May</w:t>
      </w:r>
      <w:r>
        <w:t xml:space="preserve"> 202</w:t>
      </w:r>
      <w:r>
        <w:rPr>
          <w:rFonts w:hint="eastAsia" w:eastAsia="宋体"/>
          <w:lang w:val="en-US" w:eastAsia="zh-CN"/>
        </w:rPr>
        <w:t>4</w:t>
      </w:r>
    </w:p>
    <w:p>
      <w:pPr>
        <w:pStyle w:val="35"/>
        <w:rPr>
          <w:rFonts w:cs="Arial"/>
          <w:bCs/>
          <w:sz w:val="24"/>
          <w:lang w:eastAsia="ja-JP"/>
        </w:rPr>
      </w:pPr>
    </w:p>
    <w:p>
      <w:pPr>
        <w:pStyle w:val="35"/>
        <w:rPr>
          <w:rFonts w:cs="Arial"/>
          <w:bCs/>
          <w:sz w:val="24"/>
          <w:lang w:eastAsia="ja-JP"/>
        </w:rPr>
      </w:pPr>
    </w:p>
    <w:p>
      <w:pPr>
        <w:spacing w:after="60"/>
        <w:ind w:left="1985" w:hanging="1985"/>
        <w:rPr>
          <w:rFonts w:hint="default" w:ascii="Arial" w:hAnsi="Arial" w:cs="Arial"/>
          <w:b/>
          <w:bCs/>
          <w:lang w:val="en-US"/>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[Draft] Reply </w:t>
      </w:r>
      <w:r>
        <w:rPr>
          <w:rFonts w:ascii="Arial" w:hAnsi="Arial" w:cs="Arial"/>
          <w:b/>
        </w:rPr>
        <w:t>LS on Support of Regenerative-based Satellite Access</w:t>
      </w:r>
    </w:p>
    <w:p>
      <w:pPr>
        <w:spacing w:after="60"/>
        <w:ind w:left="1985" w:hanging="1985"/>
        <w:rPr>
          <w:rFonts w:hint="default" w:ascii="Arial" w:hAnsi="Arial" w:eastAsia="宋体" w:cs="Arial"/>
          <w:b/>
          <w:bCs/>
          <w:lang w:val="en-US" w:eastAsia="zh-CN"/>
        </w:rPr>
      </w:pPr>
      <w:r>
        <w:rPr>
          <w:rFonts w:hint="eastAsia" w:ascii="Arial" w:hAnsi="Arial" w:eastAsia="宋体" w:cs="Arial"/>
          <w:b/>
          <w:lang w:val="en-US" w:eastAsia="zh-CN"/>
        </w:rPr>
        <w:t>Response to</w:t>
      </w:r>
      <w:r>
        <w:rPr>
          <w:rFonts w:ascii="Arial" w:hAnsi="Arial" w:cs="Arial"/>
          <w:b/>
        </w:rPr>
        <w:t>:</w:t>
      </w:r>
      <w:r>
        <w:rPr>
          <w:rFonts w:ascii="Arial" w:hAnsi="Arial" w:cs="Arial"/>
          <w:b/>
        </w:rPr>
        <w:tab/>
      </w:r>
      <w:r>
        <w:rPr>
          <w:rFonts w:hint="eastAsia" w:ascii="Arial" w:hAnsi="Arial" w:eastAsia="宋体" w:cs="Arial"/>
          <w:b/>
          <w:lang w:val="en-US" w:eastAsia="zh-CN"/>
        </w:rPr>
        <w:t>S2-2405600/R3-243017</w:t>
      </w:r>
    </w:p>
    <w:p>
      <w:pPr>
        <w:spacing w:after="60"/>
        <w:ind w:left="1985" w:hanging="1985"/>
        <w:rPr>
          <w:rFonts w:hint="eastAsia" w:ascii="Arial" w:hAnsi="Arial" w:eastAsia="宋体" w:cs="Arial"/>
          <w:b/>
          <w:bCs/>
          <w:lang w:val="en-US" w:eastAsia="zh-CN"/>
        </w:rPr>
      </w:pPr>
      <w:r>
        <w:rPr>
          <w:rFonts w:ascii="Arial" w:hAnsi="Arial" w:cs="Arial"/>
          <w:b/>
        </w:rPr>
        <w:t>Release:</w:t>
      </w:r>
      <w:r>
        <w:rPr>
          <w:rFonts w:ascii="Arial" w:hAnsi="Arial" w:cs="Arial"/>
          <w:bCs/>
        </w:rPr>
        <w:tab/>
      </w:r>
      <w:r>
        <w:rPr>
          <w:rFonts w:ascii="Arial" w:hAnsi="Arial" w:cs="Arial"/>
          <w:b/>
          <w:bCs/>
          <w:lang w:val="en-US"/>
        </w:rPr>
        <w:t>Rel-1</w:t>
      </w:r>
      <w:r>
        <w:rPr>
          <w:rFonts w:hint="eastAsia" w:ascii="Arial" w:hAnsi="Arial" w:eastAsia="宋体" w:cs="Arial"/>
          <w:b/>
          <w:bCs/>
          <w:lang w:val="en-US" w:eastAsia="zh-CN"/>
        </w:rPr>
        <w:t>9</w:t>
      </w:r>
    </w:p>
    <w:p>
      <w:pPr>
        <w:spacing w:after="60"/>
        <w:ind w:left="1985" w:hanging="1985"/>
        <w:rPr>
          <w:rFonts w:ascii="Arial" w:hAnsi="Arial" w:eastAsia="Times New Roman" w:cs="Arial"/>
          <w:b/>
        </w:rPr>
      </w:pPr>
      <w:r>
        <w:rPr>
          <w:rFonts w:ascii="Arial" w:hAnsi="Arial" w:eastAsia="Times New Roman" w:cs="Arial"/>
          <w:b/>
        </w:rPr>
        <w:t>Work Item:</w:t>
      </w:r>
      <w:r>
        <w:rPr>
          <w:rFonts w:ascii="Arial" w:hAnsi="Arial" w:eastAsia="Times New Roman" w:cs="Arial"/>
          <w:b/>
        </w:rPr>
        <w:tab/>
      </w:r>
      <w:r>
        <w:rPr>
          <w:rFonts w:ascii="Arial" w:hAnsi="Arial" w:eastAsia="Times New Roman" w:cs="Arial"/>
          <w:b/>
          <w:bCs/>
          <w:lang w:val="en-US" w:eastAsia="en-US"/>
        </w:rPr>
        <w:t>NR_NTN_Ph3-Core</w:t>
      </w:r>
    </w:p>
    <w:p>
      <w:pPr>
        <w:spacing w:after="60"/>
        <w:ind w:left="1985" w:hanging="1985"/>
        <w:rPr>
          <w:rFonts w:ascii="Arial" w:hAnsi="Arial" w:cs="Arial"/>
          <w:b/>
          <w:color w:val="000000"/>
        </w:rPr>
      </w:pPr>
    </w:p>
    <w:p>
      <w:pPr>
        <w:pStyle w:val="123"/>
        <w:rPr>
          <w:color w:val="000000"/>
          <w:lang w:val="en-US" w:eastAsia="zh-CN"/>
        </w:rPr>
      </w:pPr>
      <w:r>
        <w:rPr>
          <w:color w:val="000000"/>
        </w:rPr>
        <w:t>Source:</w:t>
      </w:r>
      <w:r>
        <w:rPr>
          <w:color w:val="000000"/>
        </w:rPr>
        <w:tab/>
      </w:r>
      <w:r>
        <w:rPr>
          <w:rFonts w:hint="eastAsia"/>
          <w:color w:val="000000"/>
          <w:lang w:val="en-US" w:eastAsia="zh-CN"/>
        </w:rPr>
        <w:t>ZTE</w:t>
      </w:r>
      <w:r>
        <w:rPr>
          <w:color w:val="000000"/>
          <w:lang w:val="en-US" w:eastAsia="zh-CN"/>
        </w:rPr>
        <w:t xml:space="preserve"> (to be RAN3)</w:t>
      </w:r>
    </w:p>
    <w:p>
      <w:pPr>
        <w:pStyle w:val="123"/>
        <w:rPr>
          <w:lang w:val="en-US" w:eastAsia="zh-CN"/>
        </w:rPr>
      </w:pPr>
      <w:r>
        <w:rPr>
          <w:color w:val="000000"/>
        </w:rPr>
        <w:t>To:</w:t>
      </w:r>
      <w:r>
        <w:rPr>
          <w:color w:val="000000"/>
        </w:rPr>
        <w:tab/>
      </w:r>
      <w:r>
        <w:rPr>
          <w:rFonts w:hint="eastAsia"/>
          <w:lang w:val="en-US" w:eastAsia="zh-CN"/>
        </w:rPr>
        <w:t>SA2</w:t>
      </w:r>
    </w:p>
    <w:p>
      <w:pPr>
        <w:spacing w:after="60"/>
        <w:ind w:left="1985" w:hanging="1985"/>
        <w:rPr>
          <w:rFonts w:hint="default" w:ascii="Arial" w:hAnsi="Arial" w:eastAsia="宋体" w:cs="Arial"/>
          <w:color w:val="000000"/>
          <w:lang w:val="en-US" w:eastAsia="zh-CN"/>
        </w:rPr>
      </w:pPr>
      <w:r>
        <w:rPr>
          <w:rFonts w:ascii="Arial" w:hAnsi="Arial" w:cs="Arial"/>
          <w:b/>
          <w:color w:val="000000"/>
        </w:rPr>
        <w:t>Cc:</w:t>
      </w:r>
      <w:r>
        <w:rPr>
          <w:rFonts w:ascii="Arial" w:hAnsi="Arial" w:cs="Arial"/>
          <w:b/>
          <w:color w:val="000000"/>
        </w:rPr>
        <w:tab/>
      </w:r>
      <w:r>
        <w:rPr>
          <w:rFonts w:hint="eastAsia" w:ascii="Arial" w:hAnsi="Arial" w:eastAsia="宋体" w:cs="Arial"/>
          <w:b/>
          <w:color w:val="000000"/>
          <w:lang w:val="en-US" w:eastAsia="zh-CN"/>
        </w:rPr>
        <w:t>RAN2</w:t>
      </w:r>
    </w:p>
    <w:p>
      <w:pPr>
        <w:pStyle w:val="123"/>
        <w:rPr>
          <w:color w:val="000000"/>
        </w:rPr>
      </w:pPr>
    </w:p>
    <w:p>
      <w:pPr>
        <w:spacing w:after="60"/>
        <w:ind w:left="1985" w:hanging="1985"/>
        <w:rPr>
          <w:rFonts w:ascii="Arial" w:hAnsi="Arial" w:cs="Arial"/>
          <w:bCs/>
          <w:color w:val="000000"/>
        </w:rPr>
      </w:pPr>
      <w:r>
        <w:rPr>
          <w:rFonts w:ascii="Arial" w:hAnsi="Arial" w:cs="Arial"/>
          <w:b/>
        </w:rPr>
        <w:t>Contact Person:</w:t>
      </w:r>
    </w:p>
    <w:p>
      <w:pPr>
        <w:pStyle w:val="124"/>
        <w:numPr>
          <w:ilvl w:val="3"/>
          <w:numId w:val="3"/>
        </w:numPr>
        <w:tabs>
          <w:tab w:val="clear" w:pos="2268"/>
        </w:tabs>
        <w:ind w:left="567"/>
        <w:rPr>
          <w:bCs/>
          <w:color w:val="000000"/>
          <w:sz w:val="22"/>
        </w:rPr>
      </w:pPr>
      <w:r>
        <w:rPr>
          <w:color w:val="000000"/>
          <w:sz w:val="22"/>
        </w:rPr>
        <w:t>Name:</w:t>
      </w:r>
      <w:r>
        <w:rPr>
          <w:color w:val="000000"/>
          <w:sz w:val="22"/>
        </w:rPr>
        <w:tab/>
      </w:r>
      <w:r>
        <w:rPr>
          <w:rFonts w:hint="eastAsia"/>
          <w:color w:val="000000"/>
          <w:sz w:val="22"/>
          <w:lang w:val="en-US" w:eastAsia="zh-CN"/>
        </w:rPr>
        <w:t>Jiren Han</w:t>
      </w:r>
    </w:p>
    <w:p>
      <w:pPr>
        <w:pStyle w:val="124"/>
        <w:numPr>
          <w:ilvl w:val="3"/>
          <w:numId w:val="3"/>
        </w:numPr>
        <w:tabs>
          <w:tab w:val="clear" w:pos="2268"/>
        </w:tabs>
        <w:ind w:left="567"/>
        <w:rPr>
          <w:bCs/>
          <w:color w:val="000000"/>
          <w:sz w:val="22"/>
        </w:rPr>
      </w:pPr>
      <w:r>
        <w:rPr>
          <w:color w:val="000000"/>
          <w:sz w:val="22"/>
        </w:rPr>
        <w:t>E-mail Address:</w:t>
      </w:r>
      <w:r>
        <w:rPr>
          <w:bCs/>
          <w:color w:val="000000"/>
          <w:sz w:val="22"/>
        </w:rPr>
        <w:tab/>
      </w:r>
      <w:r>
        <w:rPr>
          <w:rFonts w:hint="eastAsia"/>
          <w:bCs/>
          <w:color w:val="000000"/>
          <w:sz w:val="22"/>
          <w:lang w:val="en-US" w:eastAsia="zh-CN"/>
        </w:rPr>
        <w:t>han.jiren@zte.com.cn</w:t>
      </w:r>
    </w:p>
    <w:p>
      <w:pPr>
        <w:spacing w:after="60"/>
        <w:ind w:left="1985" w:hanging="1985"/>
        <w:rPr>
          <w:rFonts w:ascii="Arial" w:hAnsi="Arial" w:cs="Arial"/>
          <w:b/>
        </w:rPr>
      </w:pPr>
    </w:p>
    <w:p>
      <w:pPr>
        <w:tabs>
          <w:tab w:val="left" w:pos="2268"/>
        </w:tabs>
        <w:rPr>
          <w:rFonts w:ascii="Arial" w:hAnsi="Arial" w:cs="Arial"/>
          <w:b/>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9"/>
          <w:rFonts w:cs="Arial"/>
        </w:rPr>
        <w:t>mailto:3GPPLiaison@etsi.org</w:t>
      </w:r>
      <w:r>
        <w:rPr>
          <w:rStyle w:val="49"/>
          <w:rFonts w:cs="Arial"/>
        </w:rPr>
        <w:fldChar w:fldCharType="end"/>
      </w:r>
      <w:r>
        <w:rPr>
          <w:rFonts w:ascii="Arial" w:hAnsi="Arial" w:cs="Arial"/>
          <w:b/>
        </w:rPr>
        <w:t xml:space="preserve"> </w:t>
      </w:r>
      <w:r>
        <w:rPr>
          <w:rFonts w:ascii="Arial" w:hAnsi="Arial" w:cs="Arial"/>
          <w:bCs/>
        </w:rPr>
        <w:tab/>
      </w:r>
    </w:p>
    <w:p>
      <w:pPr>
        <w:pBdr>
          <w:bottom w:val="single" w:color="auto" w:sz="4" w:space="1"/>
        </w:pBdr>
        <w:rPr>
          <w:rFonts w:ascii="Arial" w:hAnsi="Arial" w:cs="Arial"/>
        </w:rPr>
      </w:pPr>
    </w:p>
    <w:p>
      <w:pPr>
        <w:rPr>
          <w:rFonts w:ascii="Arial" w:hAnsi="Arial" w:cs="Arial"/>
        </w:rPr>
      </w:pPr>
    </w:p>
    <w:p>
      <w:pPr>
        <w:numPr>
          <w:ilvl w:val="0"/>
          <w:numId w:val="4"/>
        </w:numPr>
        <w:spacing w:after="120"/>
        <w:rPr>
          <w:rFonts w:ascii="Arial" w:hAnsi="Arial" w:cs="Arial"/>
          <w:b/>
        </w:rPr>
      </w:pPr>
      <w:r>
        <w:rPr>
          <w:rFonts w:ascii="Arial" w:hAnsi="Arial" w:cs="Arial"/>
          <w:b/>
        </w:rPr>
        <w:t>Overall Description:</w:t>
      </w:r>
    </w:p>
    <w:p>
      <w:pPr>
        <w:pStyle w:val="35"/>
        <w:rPr>
          <w:rFonts w:hint="eastAsia" w:eastAsia="宋体" w:cs="Arial"/>
          <w:b w:val="0"/>
          <w:sz w:val="20"/>
          <w:lang w:val="en-US" w:eastAsia="zh-CN" w:bidi="ar-SA"/>
        </w:rPr>
      </w:pPr>
      <w:r>
        <w:rPr>
          <w:rFonts w:ascii="Arial" w:hAnsi="Arial" w:eastAsia="Times New Roman" w:cs="Arial"/>
          <w:b w:val="0"/>
          <w:sz w:val="20"/>
          <w:lang w:val="en-GB" w:eastAsia="en-US" w:bidi="ar-SA"/>
        </w:rPr>
        <w:t xml:space="preserve">RAN3 </w:t>
      </w:r>
      <w:r>
        <w:rPr>
          <w:rFonts w:hint="eastAsia" w:eastAsia="宋体" w:cs="Arial"/>
          <w:b w:val="0"/>
          <w:sz w:val="20"/>
          <w:lang w:val="en-US" w:eastAsia="zh-CN" w:bidi="ar-SA"/>
        </w:rPr>
        <w:t>thanks SA2 for their candidate mechanisms and assumptions on the Rel-19 study on 5G System enhancements for satellite access. RAN3 has discussed the issues and provides the corresponding feedback as below.</w:t>
      </w:r>
    </w:p>
    <w:p>
      <w:pPr>
        <w:pStyle w:val="35"/>
        <w:rPr>
          <w:rFonts w:hint="eastAsia" w:eastAsia="宋体" w:cs="Arial"/>
          <w:b w:val="0"/>
          <w:sz w:val="20"/>
          <w:lang w:val="en-US" w:eastAsia="zh-CN" w:bidi="ar-SA"/>
        </w:rPr>
      </w:pPr>
    </w:p>
    <w:p>
      <w:pPr>
        <w:pStyle w:val="80"/>
        <w:numPr>
          <w:ilvl w:val="0"/>
          <w:numId w:val="1"/>
        </w:numPr>
      </w:pPr>
      <w:r>
        <w:t>A procedure to handle the N2 and S1 connections when the eNB/gNB leaves the service area of an AMF/MME (e.g. when setting over the horizon) should be supported. Options e.g. disconnecting/suspending/performing configuration update of the N2/S1 connections are considered in SA2. It is up to RAN3 to determine the final option about whether to reuse existing or new mechanisms/procedures.</w:t>
      </w:r>
    </w:p>
    <w:p>
      <w:pPr>
        <w:pStyle w:val="35"/>
        <w:rPr>
          <w:rFonts w:hint="eastAsia" w:eastAsia="宋体" w:cs="Arial"/>
          <w:b w:val="0"/>
          <w:sz w:val="20"/>
          <w:lang w:val="en-US" w:eastAsia="zh-CN" w:bidi="ar-SA"/>
        </w:rPr>
      </w:pPr>
      <w:r>
        <w:rPr>
          <w:rFonts w:hint="eastAsia" w:eastAsia="宋体" w:cs="Arial"/>
          <w:b w:val="0"/>
          <w:sz w:val="20"/>
          <w:lang w:val="en-US" w:eastAsia="zh-CN" w:bidi="ar-SA"/>
        </w:rPr>
        <w:t xml:space="preserve">RAN3 has discussed the options for the management of NG connection. Technically, the NG Suspend/Resume mechanism should be applied. </w:t>
      </w:r>
    </w:p>
    <w:p>
      <w:pPr>
        <w:pStyle w:val="35"/>
        <w:rPr>
          <w:rFonts w:hint="default" w:eastAsia="宋体" w:cs="Arial"/>
          <w:b w:val="0"/>
          <w:sz w:val="20"/>
          <w:lang w:val="en-US" w:eastAsia="zh-CN" w:bidi="ar-SA"/>
        </w:rPr>
      </w:pPr>
      <w:r>
        <w:rPr>
          <w:rFonts w:hint="eastAsia" w:eastAsia="宋体" w:cs="Arial"/>
          <w:b w:val="0"/>
          <w:sz w:val="20"/>
          <w:lang w:val="en-US" w:eastAsia="zh-CN" w:bidi="ar-SA"/>
        </w:rPr>
        <w:t>RAN3 has not discussed the details of S1 connection since the Rel-19 IoT NTN WI has not started, but RAN3 think the Suspend/Resume mechanism should be also applied for the management of S1 connection.</w:t>
      </w:r>
    </w:p>
    <w:p>
      <w:pPr>
        <w:pStyle w:val="35"/>
        <w:rPr>
          <w:rFonts w:hint="eastAsia" w:eastAsia="宋体" w:cs="Arial"/>
          <w:b w:val="0"/>
          <w:sz w:val="20"/>
          <w:lang w:val="en-US" w:eastAsia="zh-CN" w:bidi="ar-SA"/>
        </w:rPr>
      </w:pPr>
    </w:p>
    <w:p>
      <w:pPr>
        <w:pStyle w:val="80"/>
        <w:numPr>
          <w:ilvl w:val="0"/>
          <w:numId w:val="1"/>
        </w:numPr>
        <w:rPr>
          <w:rFonts w:hint="default"/>
          <w:lang w:val="en-US"/>
        </w:rPr>
      </w:pPr>
      <w:r>
        <w:rPr>
          <w:rFonts w:eastAsia="等线"/>
          <w:lang w:eastAsia="zh-CN"/>
        </w:rPr>
        <w:t xml:space="preserve">If </w:t>
      </w:r>
      <w:r>
        <w:t>the eNB/gNB IP address changes</w:t>
      </w:r>
      <w:r>
        <w:rPr>
          <w:rFonts w:eastAsia="等线"/>
          <w:lang w:eastAsia="zh-CN"/>
        </w:rPr>
        <w:t xml:space="preserve"> due to soft feeder link switch, SA2 assumes that this case can be supported using the existing procedures.</w:t>
      </w:r>
    </w:p>
    <w:p>
      <w:pPr>
        <w:pStyle w:val="86"/>
        <w:keepNext w:val="0"/>
        <w:keepLines w:val="0"/>
        <w:pageBreakBefore w:val="0"/>
        <w:widowControl/>
        <w:kinsoku/>
        <w:wordWrap/>
        <w:overflowPunct/>
        <w:topLinePunct w:val="0"/>
        <w:autoSpaceDE/>
        <w:autoSpaceDN/>
        <w:bidi w:val="0"/>
        <w:adjustRightInd/>
        <w:snapToGrid/>
        <w:spacing w:after="0"/>
        <w:ind w:right="200" w:rightChars="100"/>
        <w:textAlignment w:val="auto"/>
        <w:rPr>
          <w:rFonts w:hint="eastAsia" w:eastAsia="宋体" w:cs="Arial"/>
          <w:b w:val="0"/>
          <w:sz w:val="20"/>
          <w:lang w:val="en-US" w:eastAsia="zh-CN" w:bidi="ar-SA"/>
        </w:rPr>
      </w:pPr>
      <w:r>
        <w:rPr>
          <w:rFonts w:hint="eastAsia" w:eastAsia="宋体" w:cs="Arial"/>
          <w:b w:val="0"/>
          <w:sz w:val="20"/>
          <w:lang w:val="en-US" w:eastAsia="zh-CN" w:bidi="ar-SA"/>
        </w:rPr>
        <w:t>As given in TS 38.412, the case of gNB IP address changes due to soft feeder link switch can be supported by the existing NGAP RAN Configuration Update procedure. While, the case of eNB IP address changes due to soft feeder link switch cannot be supported by the existing S1AP procedure.</w:t>
      </w:r>
    </w:p>
    <w:p>
      <w:pPr>
        <w:pStyle w:val="86"/>
        <w:keepNext w:val="0"/>
        <w:keepLines w:val="0"/>
        <w:pageBreakBefore w:val="0"/>
        <w:widowControl/>
        <w:kinsoku/>
        <w:wordWrap/>
        <w:overflowPunct/>
        <w:topLinePunct w:val="0"/>
        <w:autoSpaceDE/>
        <w:autoSpaceDN/>
        <w:bidi w:val="0"/>
        <w:adjustRightInd/>
        <w:snapToGrid/>
        <w:spacing w:after="0"/>
        <w:ind w:right="200" w:rightChars="100"/>
        <w:textAlignment w:val="auto"/>
        <w:rPr>
          <w:rFonts w:hint="default" w:eastAsia="宋体" w:cs="Arial"/>
          <w:b w:val="0"/>
          <w:sz w:val="20"/>
          <w:lang w:val="en-US" w:eastAsia="zh-CN" w:bidi="ar-SA"/>
        </w:rPr>
      </w:pPr>
    </w:p>
    <w:p>
      <w:pPr>
        <w:pStyle w:val="80"/>
        <w:numPr>
          <w:ilvl w:val="0"/>
          <w:numId w:val="1"/>
        </w:numPr>
      </w:pPr>
      <w:r>
        <w:t>SA2 assumes that AMF/MME can treat the Mapped Cell ID as per rel-17</w:t>
      </w:r>
      <w:r>
        <w:rPr>
          <w:lang w:eastAsia="zh-CN"/>
        </w:rPr>
        <w:t>.</w:t>
      </w:r>
    </w:p>
    <w:p>
      <w:pPr>
        <w:pStyle w:val="35"/>
        <w:rPr>
          <w:rFonts w:hint="default" w:eastAsia="宋体" w:cs="Arial"/>
          <w:b w:val="0"/>
          <w:sz w:val="20"/>
          <w:lang w:val="en-US" w:eastAsia="zh-CN" w:bidi="ar-SA"/>
        </w:rPr>
      </w:pPr>
      <w:r>
        <w:rPr>
          <w:rFonts w:hint="eastAsia" w:eastAsia="宋体" w:cs="Arial"/>
          <w:b w:val="0"/>
          <w:sz w:val="20"/>
          <w:lang w:val="en-US" w:eastAsia="zh-CN" w:bidi="ar-SA"/>
        </w:rPr>
        <w:t>RAN3 also thinks that the AMF/MME can treat the Mapped Cell ID as in previous releases.</w:t>
      </w:r>
    </w:p>
    <w:p>
      <w:pPr>
        <w:rPr>
          <w:rFonts w:hint="default" w:eastAsia="宋体" w:cs="等线"/>
          <w:b/>
          <w:bCs/>
          <w:lang w:val="en-US" w:eastAsia="zh-CN"/>
        </w:rPr>
      </w:pPr>
      <w:r>
        <w:rPr>
          <w:rFonts w:hint="eastAsia" w:eastAsia="宋体" w:cs="等线"/>
          <w:b/>
          <w:bCs/>
          <w:lang w:val="en-US" w:eastAsia="zh-CN"/>
        </w:rPr>
        <w:t xml:space="preserve">  </w:t>
      </w: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SA2</w:t>
      </w:r>
      <w:r>
        <w:rPr>
          <w:rFonts w:ascii="Arial" w:hAnsi="Arial" w:cs="Arial"/>
          <w:b/>
        </w:rPr>
        <w:t xml:space="preserve"> group.</w:t>
      </w:r>
    </w:p>
    <w:p>
      <w:pPr>
        <w:spacing w:after="120"/>
        <w:ind w:left="993" w:hanging="993"/>
        <w:rPr>
          <w:rFonts w:hint="default" w:ascii="Arial" w:hAnsi="Arial" w:cs="Arial"/>
          <w:i/>
          <w:iCs/>
          <w:color w:val="FF0000"/>
          <w:lang w:val="en-US"/>
        </w:rPr>
      </w:pPr>
      <w:r>
        <w:rPr>
          <w:rFonts w:ascii="Arial" w:hAnsi="Arial" w:cs="Arial"/>
          <w:b/>
        </w:rPr>
        <w:t xml:space="preserve">ACTION: </w:t>
      </w:r>
      <w:r>
        <w:rPr>
          <w:rFonts w:ascii="Arial" w:hAnsi="Arial" w:cs="Arial"/>
          <w:b/>
        </w:rPr>
        <w:tab/>
      </w:r>
      <w:r>
        <w:rPr>
          <w:rFonts w:hint="eastAsia" w:ascii="Arial" w:hAnsi="Arial" w:eastAsia="宋体" w:cs="Arial"/>
          <w:lang w:val="en-US" w:eastAsia="zh-CN"/>
        </w:rPr>
        <w:t>RAN3 kindly asks SA2 to take the above into consideration.</w:t>
      </w:r>
    </w:p>
    <w:p>
      <w:pPr>
        <w:spacing w:after="120"/>
        <w:rPr>
          <w:rFonts w:ascii="Arial" w:hAnsi="Arial" w:cs="Arial"/>
        </w:rPr>
      </w:pPr>
    </w:p>
    <w:p>
      <w:pPr>
        <w:spacing w:after="120"/>
        <w:rPr>
          <w:rFonts w:ascii="Arial" w:hAnsi="Arial" w:cs="Arial"/>
          <w:b/>
          <w:lang w:val="en-US"/>
        </w:rPr>
      </w:pPr>
      <w:r>
        <w:rPr>
          <w:rFonts w:ascii="Arial" w:hAnsi="Arial" w:cs="Arial"/>
          <w:b/>
        </w:rPr>
        <w:t>3. Date of Next RAN3 Meetings:</w:t>
      </w:r>
    </w:p>
    <w:p>
      <w:pPr>
        <w:overflowPunct w:val="0"/>
        <w:autoSpaceDE w:val="0"/>
        <w:autoSpaceDN w:val="0"/>
        <w:adjustRightInd w:val="0"/>
        <w:spacing w:after="120"/>
        <w:textAlignment w:val="baseline"/>
        <w:rPr>
          <w:rFonts w:ascii="Arial" w:hAnsi="Arial" w:cs="Arial"/>
          <w:bCs/>
        </w:rPr>
      </w:pPr>
      <w:r>
        <w:rPr>
          <w:rFonts w:ascii="Arial" w:hAnsi="Arial" w:cs="Arial"/>
        </w:rPr>
        <w:t>TSG RAN WG</w:t>
      </w:r>
      <w:r>
        <w:rPr>
          <w:rFonts w:hint="eastAsia" w:ascii="Arial" w:hAnsi="Arial" w:cs="Arial"/>
          <w:lang w:val="en-US" w:eastAsia="zh-CN"/>
        </w:rPr>
        <w:t>3</w:t>
      </w:r>
      <w:r>
        <w:rPr>
          <w:rFonts w:ascii="Arial" w:hAnsi="Arial" w:cs="Arial"/>
        </w:rPr>
        <w:t xml:space="preserve"> Meeting #</w:t>
      </w:r>
      <w:r>
        <w:rPr>
          <w:rFonts w:ascii="Arial" w:hAnsi="Arial" w:eastAsia="Yu Mincho" w:cs="Arial"/>
          <w:bCs/>
        </w:rPr>
        <w:t>1</w:t>
      </w:r>
      <w:r>
        <w:rPr>
          <w:rFonts w:hint="eastAsia" w:ascii="Arial" w:hAnsi="Arial" w:eastAsia="宋体" w:cs="Arial"/>
          <w:bCs/>
          <w:lang w:val="en-US" w:eastAsia="zh-CN"/>
        </w:rPr>
        <w:t>25</w:t>
      </w:r>
      <w:r>
        <w:rPr>
          <w:rFonts w:ascii="Arial" w:hAnsi="Arial" w:cs="Arial"/>
          <w:bCs/>
          <w:lang w:val="en-US" w:eastAsia="zh-CN"/>
        </w:rPr>
        <w:t xml:space="preserve">     </w:t>
      </w:r>
      <w:r>
        <w:rPr>
          <w:rFonts w:hint="eastAsia" w:ascii="Arial" w:hAnsi="Arial" w:cs="Arial"/>
          <w:bCs/>
          <w:lang w:val="en-US" w:eastAsia="zh-CN"/>
        </w:rPr>
        <w:t>19</w:t>
      </w:r>
      <w:r>
        <w:rPr>
          <w:rFonts w:ascii="Arial" w:hAnsi="Arial" w:eastAsia="Wingdings" w:cs="Calibri Light"/>
          <w:bCs/>
          <w:vertAlign w:val="superscript"/>
        </w:rPr>
        <w:t>th</w:t>
      </w:r>
      <w:r>
        <w:rPr>
          <w:rFonts w:ascii="Arial" w:hAnsi="Arial" w:eastAsia="Wingdings" w:cs="Calibri Light"/>
          <w:bCs/>
        </w:rPr>
        <w:t xml:space="preserve"> – </w:t>
      </w:r>
      <w:r>
        <w:rPr>
          <w:rFonts w:hint="eastAsia" w:ascii="Arial" w:hAnsi="Arial" w:cs="Arial"/>
          <w:bCs/>
          <w:lang w:val="en-US" w:eastAsia="zh-CN"/>
        </w:rPr>
        <w:t>24</w:t>
      </w:r>
      <w:r>
        <w:rPr>
          <w:rFonts w:ascii="Arial" w:hAnsi="Arial" w:eastAsia="Wingdings" w:cs="Calibri Light"/>
          <w:bCs/>
          <w:vertAlign w:val="superscript"/>
        </w:rPr>
        <w:t>th</w:t>
      </w:r>
      <w:r>
        <w:rPr>
          <w:rFonts w:ascii="Arial" w:hAnsi="Arial" w:cs="Calibri Light"/>
          <w:bCs/>
          <w:lang w:val="en-US" w:eastAsia="zh-CN"/>
        </w:rPr>
        <w:t>,</w:t>
      </w:r>
      <w:r>
        <w:rPr>
          <w:rFonts w:ascii="Arial" w:hAnsi="Arial" w:eastAsia="Wingdings" w:cs="Calibri Light"/>
          <w:bCs/>
        </w:rPr>
        <w:t xml:space="preserve"> </w:t>
      </w:r>
      <w:r>
        <w:rPr>
          <w:rFonts w:hint="eastAsia" w:ascii="Arial" w:hAnsi="Arial" w:eastAsia="宋体" w:cs="Calibri Light"/>
          <w:bCs/>
          <w:lang w:val="en-US" w:eastAsia="zh-CN"/>
        </w:rPr>
        <w:t>Aug</w:t>
      </w:r>
      <w:r>
        <w:rPr>
          <w:rFonts w:hint="eastAsia" w:ascii="Arial" w:hAnsi="Arial" w:eastAsia="Wingdings" w:cs="Calibri Light"/>
          <w:bCs/>
        </w:rPr>
        <w:t>.</w:t>
      </w:r>
      <w:r>
        <w:rPr>
          <w:rFonts w:ascii="Arial" w:hAnsi="Arial" w:eastAsia="Wingdings" w:cs="Calibri Light"/>
          <w:bCs/>
        </w:rPr>
        <w:t xml:space="preserve"> 202</w:t>
      </w:r>
      <w:r>
        <w:rPr>
          <w:rFonts w:hint="eastAsia" w:ascii="Arial" w:hAnsi="Arial" w:eastAsia="宋体" w:cs="Calibri Light"/>
          <w:bCs/>
          <w:lang w:val="en-US" w:eastAsia="zh-CN"/>
        </w:rPr>
        <w:t>4</w:t>
      </w:r>
      <w:r>
        <w:rPr>
          <w:rFonts w:ascii="Arial" w:hAnsi="Arial" w:eastAsia="Wingdings" w:cs="Calibri Light"/>
          <w:bCs/>
        </w:rPr>
        <w:t xml:space="preserve"> </w:t>
      </w:r>
      <w:r>
        <w:rPr>
          <w:rFonts w:ascii="Arial" w:hAnsi="Arial" w:cs="Arial"/>
        </w:rPr>
        <w:tab/>
      </w:r>
      <w:r>
        <w:rPr>
          <w:rFonts w:ascii="Arial" w:hAnsi="Arial" w:cs="Arial"/>
        </w:rPr>
        <w:tab/>
      </w:r>
      <w:r>
        <w:rPr>
          <w:rFonts w:hint="eastAsia" w:ascii="Arial" w:hAnsi="Arial" w:cs="Arial"/>
          <w:lang w:val="en-US" w:eastAsia="zh-CN"/>
        </w:rPr>
        <w:t xml:space="preserve"> </w:t>
      </w:r>
      <w:r>
        <w:rPr>
          <w:rFonts w:ascii="Arial" w:hAnsi="Arial" w:cs="Arial"/>
          <w:bCs/>
        </w:rPr>
        <w:t>Maastricht, The Netherlands</w:t>
      </w:r>
    </w:p>
    <w:p>
      <w:pPr>
        <w:overflowPunct w:val="0"/>
        <w:autoSpaceDE w:val="0"/>
        <w:autoSpaceDN w:val="0"/>
        <w:adjustRightInd w:val="0"/>
        <w:spacing w:after="120"/>
        <w:textAlignment w:val="baseline"/>
        <w:rPr>
          <w:rFonts w:hint="eastAsia" w:ascii="Arial" w:hAnsi="Arial" w:cs="Arial"/>
          <w:bCs/>
          <w:lang w:val="en-US" w:eastAsia="zh-CN"/>
        </w:rPr>
      </w:pPr>
    </w:p>
    <w:p>
      <w:pPr>
        <w:pStyle w:val="2"/>
        <w:rPr>
          <w:rFonts w:hint="default" w:eastAsia="宋体" w:cs="Arial"/>
          <w:lang w:val="en-US" w:eastAsia="zh-CN"/>
        </w:rPr>
      </w:pPr>
      <w:r>
        <w:rPr>
          <w:rFonts w:hint="eastAsia" w:eastAsia="宋体" w:cs="Arial"/>
          <w:lang w:val="en-US" w:eastAsia="zh-CN"/>
        </w:rPr>
        <w:t>Annex 2</w:t>
      </w:r>
    </w:p>
    <w:p>
      <w:pPr>
        <w:pStyle w:val="119"/>
        <w:rPr>
          <w:rFonts w:hint="default" w:eastAsia="宋体"/>
          <w:lang w:val="en-US" w:eastAsia="zh-CN"/>
        </w:rPr>
      </w:pPr>
      <w:r>
        <w:t>3GPP TSG-</w:t>
      </w:r>
      <w:r>
        <w:rPr>
          <w:szCs w:val="24"/>
        </w:rPr>
        <w:t>RAN WG3 Meeting #12</w:t>
      </w:r>
      <w:r>
        <w:rPr>
          <w:rFonts w:hint="eastAsia" w:eastAsia="宋体"/>
          <w:szCs w:val="24"/>
          <w:lang w:val="en-US" w:eastAsia="zh-CN"/>
        </w:rPr>
        <w:t>4</w:t>
      </w:r>
      <w:r>
        <w:tab/>
      </w:r>
      <w:r>
        <w:rPr>
          <w:lang w:eastAsia="ja-JP"/>
        </w:rPr>
        <w:t>R3-2</w:t>
      </w:r>
      <w:r>
        <w:rPr>
          <w:rFonts w:hint="eastAsia" w:eastAsia="宋体"/>
          <w:lang w:val="en-US" w:eastAsia="zh-CN"/>
        </w:rPr>
        <w:t>4xxxx</w:t>
      </w:r>
    </w:p>
    <w:p>
      <w:pPr>
        <w:pStyle w:val="119"/>
        <w:rPr>
          <w:rFonts w:hint="eastAsia" w:eastAsia="宋体"/>
          <w:lang w:eastAsia="zh-CN"/>
        </w:rPr>
      </w:pPr>
      <w:r>
        <w:rPr>
          <w:rFonts w:hint="eastAsia" w:eastAsia="宋体"/>
          <w:szCs w:val="24"/>
          <w:lang w:val="en-US" w:eastAsia="zh-CN"/>
        </w:rPr>
        <w:t>Fukuoka</w:t>
      </w:r>
      <w:r>
        <w:rPr>
          <w:szCs w:val="24"/>
        </w:rPr>
        <w:t xml:space="preserve">, </w:t>
      </w:r>
      <w:r>
        <w:rPr>
          <w:rFonts w:hint="eastAsia" w:eastAsia="宋体"/>
          <w:szCs w:val="24"/>
          <w:lang w:val="en-US" w:eastAsia="zh-CN"/>
        </w:rPr>
        <w:t>Japan</w:t>
      </w:r>
      <w:r>
        <w:rPr>
          <w:szCs w:val="24"/>
        </w:rPr>
        <w:t xml:space="preserve">, </w:t>
      </w:r>
      <w:r>
        <w:rPr>
          <w:rFonts w:hint="eastAsia" w:eastAsia="宋体"/>
          <w:lang w:val="en-US" w:eastAsia="zh-CN"/>
        </w:rPr>
        <w:t>20</w:t>
      </w:r>
      <w:r>
        <w:rPr>
          <w:rFonts w:hint="eastAsia" w:eastAsia="宋体"/>
          <w:vertAlign w:val="superscript"/>
          <w:lang w:val="en-US" w:eastAsia="zh-CN"/>
        </w:rPr>
        <w:t>th</w:t>
      </w:r>
      <w:r>
        <w:t xml:space="preserve"> – </w:t>
      </w:r>
      <w:r>
        <w:rPr>
          <w:rFonts w:hint="eastAsia" w:eastAsia="宋体"/>
          <w:lang w:val="en-US" w:eastAsia="zh-CN"/>
        </w:rPr>
        <w:t>24</w:t>
      </w:r>
      <w:r>
        <w:rPr>
          <w:vertAlign w:val="superscript"/>
        </w:rPr>
        <w:t>th</w:t>
      </w:r>
      <w:r>
        <w:t xml:space="preserve"> </w:t>
      </w:r>
      <w:r>
        <w:rPr>
          <w:rFonts w:hint="eastAsia" w:eastAsia="宋体"/>
          <w:lang w:val="en-US" w:eastAsia="zh-CN"/>
        </w:rPr>
        <w:t>May</w:t>
      </w:r>
      <w:r>
        <w:t xml:space="preserve"> 202</w:t>
      </w:r>
      <w:r>
        <w:rPr>
          <w:rFonts w:hint="eastAsia" w:eastAsia="宋体"/>
          <w:lang w:val="en-US" w:eastAsia="zh-CN"/>
        </w:rPr>
        <w:t>4</w:t>
      </w:r>
    </w:p>
    <w:p>
      <w:pPr>
        <w:pStyle w:val="35"/>
        <w:rPr>
          <w:rFonts w:cs="Arial"/>
          <w:bCs/>
          <w:sz w:val="24"/>
          <w:lang w:eastAsia="ja-JP"/>
        </w:rPr>
      </w:pPr>
    </w:p>
    <w:p>
      <w:pPr>
        <w:pStyle w:val="35"/>
        <w:rPr>
          <w:rFonts w:cs="Arial"/>
          <w:bCs/>
          <w:sz w:val="24"/>
          <w:lang w:eastAsia="ja-JP"/>
        </w:rPr>
      </w:pPr>
    </w:p>
    <w:p>
      <w:pPr>
        <w:spacing w:after="60"/>
        <w:ind w:left="1985" w:hanging="1985"/>
        <w:rPr>
          <w:rFonts w:hint="default" w:ascii="Arial" w:hAnsi="Arial" w:cs="Arial"/>
          <w:b/>
          <w:bCs/>
          <w:lang w:val="en-US"/>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[Draft] Reply </w:t>
      </w:r>
      <w:r>
        <w:rPr>
          <w:rFonts w:ascii="Arial" w:hAnsi="Arial" w:cs="Arial"/>
          <w:b/>
          <w:bCs/>
          <w:lang w:val="en-US"/>
        </w:rPr>
        <w:t xml:space="preserve">LS on </w:t>
      </w:r>
      <w:r>
        <w:rPr>
          <w:rFonts w:ascii="Arial" w:hAnsi="Arial" w:cs="Arial"/>
          <w:b/>
          <w:sz w:val="22"/>
          <w:szCs w:val="22"/>
        </w:rPr>
        <w:t>security of IP transport over satellite transport links</w:t>
      </w:r>
    </w:p>
    <w:p>
      <w:pPr>
        <w:spacing w:after="60"/>
        <w:ind w:left="1985" w:hanging="1985"/>
        <w:rPr>
          <w:rFonts w:hint="default" w:ascii="Arial" w:hAnsi="Arial" w:eastAsia="宋体" w:cs="Arial"/>
          <w:b/>
          <w:bCs/>
          <w:lang w:val="en-US" w:eastAsia="zh-CN"/>
        </w:rPr>
      </w:pPr>
      <w:r>
        <w:rPr>
          <w:rFonts w:hint="eastAsia" w:ascii="Arial" w:hAnsi="Arial" w:eastAsia="宋体" w:cs="Arial"/>
          <w:b/>
          <w:lang w:val="en-US" w:eastAsia="zh-CN"/>
        </w:rPr>
        <w:t>Response to</w:t>
      </w:r>
      <w:r>
        <w:rPr>
          <w:rFonts w:ascii="Arial" w:hAnsi="Arial" w:cs="Arial"/>
          <w:b/>
        </w:rPr>
        <w:t>:</w:t>
      </w:r>
      <w:r>
        <w:rPr>
          <w:rFonts w:ascii="Arial" w:hAnsi="Arial" w:cs="Arial"/>
          <w:b/>
        </w:rPr>
        <w:tab/>
      </w:r>
      <w:r>
        <w:rPr>
          <w:rFonts w:ascii="Arial" w:hAnsi="Arial" w:eastAsia="Times New Roman" w:cs="Arial"/>
          <w:b/>
          <w:bCs/>
          <w:lang w:val="sv-SE"/>
        </w:rPr>
        <w:t>S2-2405836</w:t>
      </w:r>
      <w:r>
        <w:rPr>
          <w:rFonts w:hint="eastAsia" w:ascii="Arial" w:hAnsi="Arial" w:eastAsia="宋体" w:cs="Arial"/>
          <w:b/>
          <w:bCs/>
          <w:lang w:val="en-US" w:eastAsia="zh-CN"/>
        </w:rPr>
        <w:t>/R3-243023</w:t>
      </w:r>
    </w:p>
    <w:p>
      <w:pPr>
        <w:spacing w:after="60"/>
        <w:ind w:left="1985" w:hanging="1985"/>
        <w:rPr>
          <w:rFonts w:hint="eastAsia" w:ascii="Arial" w:hAnsi="Arial" w:eastAsia="宋体" w:cs="Arial"/>
          <w:b/>
          <w:bCs/>
          <w:lang w:val="en-US" w:eastAsia="zh-CN"/>
        </w:rPr>
      </w:pPr>
      <w:r>
        <w:rPr>
          <w:rFonts w:ascii="Arial" w:hAnsi="Arial" w:cs="Arial"/>
          <w:b/>
        </w:rPr>
        <w:t>Release:</w:t>
      </w:r>
      <w:r>
        <w:rPr>
          <w:rFonts w:ascii="Arial" w:hAnsi="Arial" w:cs="Arial"/>
          <w:bCs/>
        </w:rPr>
        <w:tab/>
      </w:r>
      <w:r>
        <w:rPr>
          <w:rFonts w:ascii="Arial" w:hAnsi="Arial" w:cs="Arial"/>
          <w:b/>
          <w:bCs/>
          <w:lang w:val="en-US"/>
        </w:rPr>
        <w:t>Rel-1</w:t>
      </w:r>
      <w:r>
        <w:rPr>
          <w:rFonts w:hint="eastAsia" w:ascii="Arial" w:hAnsi="Arial" w:eastAsia="宋体" w:cs="Arial"/>
          <w:b/>
          <w:bCs/>
          <w:lang w:val="en-US" w:eastAsia="zh-CN"/>
        </w:rPr>
        <w:t>9</w:t>
      </w:r>
    </w:p>
    <w:p>
      <w:pPr>
        <w:spacing w:after="60"/>
        <w:ind w:left="1985" w:hanging="1985"/>
        <w:rPr>
          <w:rFonts w:ascii="Arial" w:hAnsi="Arial" w:eastAsia="Times New Roman" w:cs="Arial"/>
          <w:b/>
        </w:rPr>
      </w:pPr>
      <w:r>
        <w:rPr>
          <w:rFonts w:ascii="Arial" w:hAnsi="Arial" w:eastAsia="Times New Roman" w:cs="Arial"/>
          <w:b/>
        </w:rPr>
        <w:t>Work Item:</w:t>
      </w:r>
      <w:r>
        <w:rPr>
          <w:rFonts w:ascii="Arial" w:hAnsi="Arial" w:eastAsia="Times New Roman" w:cs="Arial"/>
          <w:b/>
        </w:rPr>
        <w:tab/>
      </w:r>
      <w:r>
        <w:rPr>
          <w:rFonts w:ascii="Arial" w:hAnsi="Arial" w:eastAsia="Times New Roman" w:cs="Arial"/>
          <w:b/>
          <w:bCs/>
          <w:lang w:val="en-US" w:eastAsia="en-US"/>
        </w:rPr>
        <w:t>NR_NTN_Ph3-Core</w:t>
      </w:r>
    </w:p>
    <w:p>
      <w:pPr>
        <w:spacing w:after="60"/>
        <w:ind w:left="1985" w:hanging="1985"/>
        <w:rPr>
          <w:rFonts w:ascii="Arial" w:hAnsi="Arial" w:cs="Arial"/>
          <w:b/>
          <w:color w:val="000000"/>
        </w:rPr>
      </w:pPr>
    </w:p>
    <w:p>
      <w:pPr>
        <w:pStyle w:val="123"/>
        <w:rPr>
          <w:color w:val="000000"/>
          <w:lang w:val="en-US" w:eastAsia="zh-CN"/>
        </w:rPr>
      </w:pPr>
      <w:r>
        <w:rPr>
          <w:color w:val="000000"/>
        </w:rPr>
        <w:t>Source:</w:t>
      </w:r>
      <w:r>
        <w:rPr>
          <w:color w:val="000000"/>
        </w:rPr>
        <w:tab/>
      </w:r>
      <w:r>
        <w:rPr>
          <w:rFonts w:hint="eastAsia"/>
          <w:color w:val="000000"/>
          <w:lang w:val="en-US" w:eastAsia="zh-CN"/>
        </w:rPr>
        <w:t>ZTE</w:t>
      </w:r>
      <w:r>
        <w:rPr>
          <w:color w:val="000000"/>
          <w:lang w:val="en-US" w:eastAsia="zh-CN"/>
        </w:rPr>
        <w:t xml:space="preserve"> (to be RAN3)</w:t>
      </w:r>
    </w:p>
    <w:p>
      <w:pPr>
        <w:pStyle w:val="123"/>
        <w:rPr>
          <w:rFonts w:hint="default"/>
          <w:lang w:val="en-US" w:eastAsia="zh-CN"/>
        </w:rPr>
      </w:pPr>
      <w:r>
        <w:rPr>
          <w:color w:val="000000"/>
        </w:rPr>
        <w:t>To:</w:t>
      </w:r>
      <w:r>
        <w:rPr>
          <w:color w:val="000000"/>
        </w:rPr>
        <w:tab/>
      </w:r>
      <w:r>
        <w:rPr>
          <w:rFonts w:hint="eastAsia"/>
          <w:lang w:val="en-US" w:eastAsia="zh-CN"/>
        </w:rPr>
        <w:t>SA2, SA3</w:t>
      </w:r>
    </w:p>
    <w:p>
      <w:pPr>
        <w:spacing w:after="60"/>
        <w:ind w:left="1985" w:hanging="1985"/>
        <w:rPr>
          <w:rFonts w:hint="default" w:ascii="Arial" w:hAnsi="Arial" w:eastAsia="宋体" w:cs="Arial"/>
          <w:color w:val="000000"/>
          <w:lang w:val="en-US" w:eastAsia="zh-CN"/>
        </w:rPr>
      </w:pPr>
      <w:r>
        <w:rPr>
          <w:rFonts w:ascii="Arial" w:hAnsi="Arial" w:cs="Arial"/>
          <w:b/>
          <w:color w:val="000000"/>
        </w:rPr>
        <w:t>Cc:</w:t>
      </w:r>
      <w:r>
        <w:rPr>
          <w:rFonts w:ascii="Arial" w:hAnsi="Arial" w:cs="Arial"/>
          <w:b/>
          <w:color w:val="000000"/>
        </w:rPr>
        <w:tab/>
      </w:r>
      <w:r>
        <w:rPr>
          <w:rFonts w:hint="eastAsia" w:ascii="Arial" w:hAnsi="Arial" w:eastAsia="宋体" w:cs="Arial"/>
          <w:b/>
          <w:color w:val="000000"/>
          <w:lang w:val="en-US" w:eastAsia="zh-CN"/>
        </w:rPr>
        <w:t>N/A</w:t>
      </w:r>
    </w:p>
    <w:p>
      <w:pPr>
        <w:pStyle w:val="123"/>
        <w:rPr>
          <w:color w:val="000000"/>
        </w:rPr>
      </w:pPr>
    </w:p>
    <w:p>
      <w:pPr>
        <w:spacing w:after="60"/>
        <w:ind w:left="1985" w:hanging="1985"/>
        <w:rPr>
          <w:rFonts w:ascii="Arial" w:hAnsi="Arial" w:cs="Arial"/>
          <w:bCs/>
          <w:color w:val="000000"/>
        </w:rPr>
      </w:pPr>
      <w:r>
        <w:rPr>
          <w:rFonts w:ascii="Arial" w:hAnsi="Arial" w:cs="Arial"/>
          <w:b/>
        </w:rPr>
        <w:t>Contact Person:</w:t>
      </w:r>
    </w:p>
    <w:p>
      <w:pPr>
        <w:pStyle w:val="124"/>
        <w:numPr>
          <w:ilvl w:val="3"/>
          <w:numId w:val="3"/>
        </w:numPr>
        <w:tabs>
          <w:tab w:val="clear" w:pos="2268"/>
        </w:tabs>
        <w:ind w:left="567"/>
        <w:rPr>
          <w:bCs/>
          <w:color w:val="000000"/>
          <w:sz w:val="22"/>
        </w:rPr>
      </w:pPr>
      <w:r>
        <w:rPr>
          <w:color w:val="000000"/>
          <w:sz w:val="22"/>
        </w:rPr>
        <w:t>Name:</w:t>
      </w:r>
      <w:r>
        <w:rPr>
          <w:color w:val="000000"/>
          <w:sz w:val="22"/>
        </w:rPr>
        <w:tab/>
      </w:r>
      <w:r>
        <w:rPr>
          <w:rFonts w:hint="eastAsia"/>
          <w:color w:val="000000"/>
          <w:sz w:val="22"/>
          <w:lang w:val="en-US" w:eastAsia="zh-CN"/>
        </w:rPr>
        <w:t>Jiren Han</w:t>
      </w:r>
    </w:p>
    <w:p>
      <w:pPr>
        <w:pStyle w:val="124"/>
        <w:numPr>
          <w:ilvl w:val="3"/>
          <w:numId w:val="3"/>
        </w:numPr>
        <w:tabs>
          <w:tab w:val="clear" w:pos="2268"/>
        </w:tabs>
        <w:ind w:left="567"/>
        <w:rPr>
          <w:bCs/>
          <w:color w:val="000000"/>
          <w:sz w:val="22"/>
        </w:rPr>
      </w:pPr>
      <w:r>
        <w:rPr>
          <w:color w:val="000000"/>
          <w:sz w:val="22"/>
        </w:rPr>
        <w:t>E-mail Address:</w:t>
      </w:r>
      <w:r>
        <w:rPr>
          <w:bCs/>
          <w:color w:val="000000"/>
          <w:sz w:val="22"/>
        </w:rPr>
        <w:tab/>
      </w:r>
      <w:r>
        <w:rPr>
          <w:rFonts w:hint="eastAsia"/>
          <w:bCs/>
          <w:color w:val="000000"/>
          <w:sz w:val="22"/>
          <w:lang w:val="en-US" w:eastAsia="zh-CN"/>
        </w:rPr>
        <w:t>han.jiren@zte.com.cn</w:t>
      </w:r>
    </w:p>
    <w:p>
      <w:pPr>
        <w:spacing w:after="60"/>
        <w:ind w:left="1985" w:hanging="1985"/>
        <w:rPr>
          <w:rFonts w:ascii="Arial" w:hAnsi="Arial" w:cs="Arial"/>
          <w:b/>
        </w:rPr>
      </w:pPr>
    </w:p>
    <w:p>
      <w:pPr>
        <w:tabs>
          <w:tab w:val="left" w:pos="2268"/>
        </w:tabs>
        <w:rPr>
          <w:rFonts w:ascii="Arial" w:hAnsi="Arial" w:cs="Arial"/>
          <w:b/>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9"/>
          <w:rFonts w:cs="Arial"/>
        </w:rPr>
        <w:t>mailto:3GPPLiaison@etsi.org</w:t>
      </w:r>
      <w:r>
        <w:rPr>
          <w:rStyle w:val="49"/>
          <w:rFonts w:cs="Arial"/>
        </w:rPr>
        <w:fldChar w:fldCharType="end"/>
      </w:r>
      <w:r>
        <w:rPr>
          <w:rFonts w:ascii="Arial" w:hAnsi="Arial" w:cs="Arial"/>
          <w:b/>
        </w:rPr>
        <w:t xml:space="preserve"> </w:t>
      </w:r>
      <w:r>
        <w:rPr>
          <w:rFonts w:ascii="Arial" w:hAnsi="Arial" w:cs="Arial"/>
          <w:bCs/>
        </w:rPr>
        <w:tab/>
      </w:r>
    </w:p>
    <w:p>
      <w:pPr>
        <w:pBdr>
          <w:bottom w:val="single" w:color="auto" w:sz="4" w:space="1"/>
        </w:pBdr>
        <w:rPr>
          <w:rFonts w:ascii="Arial" w:hAnsi="Arial" w:cs="Arial"/>
        </w:rPr>
      </w:pPr>
    </w:p>
    <w:p>
      <w:pPr>
        <w:rPr>
          <w:rFonts w:ascii="Arial" w:hAnsi="Arial" w:cs="Arial"/>
        </w:rPr>
      </w:pPr>
    </w:p>
    <w:p>
      <w:pPr>
        <w:numPr>
          <w:ilvl w:val="0"/>
          <w:numId w:val="4"/>
        </w:numPr>
        <w:spacing w:after="120"/>
        <w:rPr>
          <w:rFonts w:hint="eastAsia" w:ascii="Arial" w:hAnsi="Arial" w:eastAsia="宋体" w:cs="Arial"/>
          <w:b w:val="0"/>
          <w:sz w:val="20"/>
          <w:lang w:val="en-US" w:eastAsia="zh-CN" w:bidi="ar-SA"/>
        </w:rPr>
      </w:pPr>
      <w:r>
        <w:rPr>
          <w:rFonts w:ascii="Arial" w:hAnsi="Arial" w:cs="Arial"/>
          <w:b/>
        </w:rPr>
        <w:t>Overall Description:</w:t>
      </w:r>
    </w:p>
    <w:p>
      <w:pPr>
        <w:pStyle w:val="35"/>
        <w:rPr>
          <w:rFonts w:hint="default" w:ascii="Arial" w:hAnsi="Arial" w:eastAsia="宋体" w:cs="Arial"/>
          <w:b w:val="0"/>
          <w:sz w:val="20"/>
          <w:lang w:val="en-US" w:eastAsia="zh-CN" w:bidi="ar-SA"/>
        </w:rPr>
      </w:pPr>
      <w:r>
        <w:rPr>
          <w:rFonts w:hint="eastAsia" w:ascii="Arial" w:hAnsi="Arial" w:eastAsia="宋体" w:cs="Arial"/>
          <w:b w:val="0"/>
          <w:sz w:val="20"/>
          <w:lang w:val="en-GB" w:eastAsia="en-US" w:bidi="ar-SA"/>
        </w:rPr>
        <w:t xml:space="preserve">RAN3 </w:t>
      </w:r>
      <w:r>
        <w:rPr>
          <w:rFonts w:hint="eastAsia" w:ascii="Arial" w:hAnsi="Arial" w:eastAsia="宋体" w:cs="Arial"/>
          <w:b w:val="0"/>
          <w:sz w:val="20"/>
          <w:lang w:val="en-US" w:eastAsia="zh-CN" w:bidi="ar-SA"/>
        </w:rPr>
        <w:t>thanks SA2 for giving the opportunity to provide feedback on SA3</w:t>
      </w:r>
      <w:r>
        <w:rPr>
          <w:rFonts w:hint="default" w:ascii="Arial" w:hAnsi="Arial" w:eastAsia="宋体" w:cs="Arial"/>
          <w:b w:val="0"/>
          <w:sz w:val="20"/>
          <w:lang w:val="en-US" w:eastAsia="zh-CN" w:bidi="ar-SA"/>
        </w:rPr>
        <w:t>’</w:t>
      </w:r>
      <w:r>
        <w:rPr>
          <w:rFonts w:hint="eastAsia" w:ascii="Arial" w:hAnsi="Arial" w:eastAsia="宋体" w:cs="Arial"/>
          <w:b w:val="0"/>
          <w:sz w:val="20"/>
          <w:lang w:val="en-US" w:eastAsia="zh-CN" w:bidi="ar-SA"/>
        </w:rPr>
        <w:t>s LS on security of IP transport over satellite transport links</w:t>
      </w:r>
      <w:r>
        <w:rPr>
          <w:rFonts w:hint="eastAsia" w:eastAsia="宋体" w:cs="Arial"/>
          <w:b w:val="0"/>
          <w:sz w:val="20"/>
          <w:lang w:val="en-US" w:eastAsia="zh-CN" w:bidi="ar-SA"/>
        </w:rPr>
        <w:t>.</w:t>
      </w:r>
    </w:p>
    <w:p>
      <w:pPr>
        <w:pStyle w:val="35"/>
        <w:rPr>
          <w:rFonts w:hint="default" w:eastAsia="宋体" w:cs="Arial"/>
          <w:b w:val="0"/>
          <w:sz w:val="20"/>
          <w:lang w:val="en-US" w:eastAsia="zh-CN" w:bidi="ar-SA"/>
        </w:rPr>
      </w:pPr>
    </w:p>
    <w:p>
      <w:pPr>
        <w:rPr>
          <w:rFonts w:hint="eastAsia" w:eastAsia="宋体" w:cs="Arial"/>
          <w:b w:val="0"/>
          <w:sz w:val="20"/>
          <w:lang w:val="en-US" w:eastAsia="zh-CN" w:bidi="ar-SA"/>
        </w:rPr>
      </w:pPr>
      <w:r>
        <w:rPr>
          <w:rFonts w:hint="eastAsia" w:ascii="Arial" w:hAnsi="Arial" w:cs="Arial"/>
          <w:sz w:val="20"/>
          <w:szCs w:val="20"/>
          <w:lang w:val="en-US" w:eastAsia="zh-CN"/>
        </w:rPr>
        <w:t>With the establishment of IPsec(and DTLS), the security of the transport layer can be guaranteed. And the NGAP/S1AP protocol can be established on the top of the safe transport links. Similar as the legacy terrestrial network, every time the feeder link switch-over happens, the IPsec(/DTLS) shall be established to guarantee the security of the transport links.</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eastAsia="宋体" w:cs="Arial"/>
          <w:b w:val="0"/>
          <w:sz w:val="20"/>
          <w:lang w:val="en-US" w:eastAsia="zh-CN" w:bidi="ar-SA"/>
        </w:rPr>
        <w:t xml:space="preserve">RAN3 assumes that </w:t>
      </w:r>
      <w:r>
        <w:rPr>
          <w:rFonts w:hint="eastAsia" w:ascii="Arial" w:hAnsi="Arial" w:eastAsia="宋体" w:cs="Arial"/>
          <w:b w:val="0"/>
          <w:sz w:val="20"/>
          <w:lang w:val="en-US" w:eastAsia="zh-CN" w:bidi="ar-SA"/>
        </w:rPr>
        <w:t>the IP connectivity is supported between the on-board eNB/gNB and the ground-based 3GPP core network.</w:t>
      </w:r>
      <w:bookmarkStart w:id="27" w:name="_GoBack"/>
      <w:bookmarkEnd w:id="27"/>
    </w:p>
    <w:p>
      <w:pPr>
        <w:rPr>
          <w:rFonts w:hint="default" w:eastAsia="宋体" w:cs="等线"/>
          <w:b/>
          <w:bCs/>
          <w:lang w:val="en-US" w:eastAsia="zh-CN"/>
        </w:rPr>
      </w:pPr>
      <w:r>
        <w:rPr>
          <w:rFonts w:hint="eastAsia" w:eastAsia="宋体" w:cs="等线"/>
          <w:b/>
          <w:bCs/>
          <w:lang w:val="en-US" w:eastAsia="zh-CN"/>
        </w:rPr>
        <w:t xml:space="preserve">  </w:t>
      </w: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SA2 and SA3</w:t>
      </w:r>
      <w:r>
        <w:rPr>
          <w:rFonts w:ascii="Arial" w:hAnsi="Arial" w:cs="Arial"/>
          <w:b/>
        </w:rPr>
        <w:t xml:space="preserve"> group.</w:t>
      </w:r>
    </w:p>
    <w:p>
      <w:pPr>
        <w:spacing w:after="120"/>
        <w:ind w:left="993" w:hanging="993"/>
        <w:rPr>
          <w:rFonts w:hint="default" w:ascii="Arial" w:hAnsi="Arial" w:cs="Arial"/>
          <w:i/>
          <w:iCs/>
          <w:color w:val="FF0000"/>
          <w:lang w:val="en-US"/>
        </w:rPr>
      </w:pPr>
      <w:r>
        <w:rPr>
          <w:rFonts w:ascii="Arial" w:hAnsi="Arial" w:cs="Arial"/>
          <w:b/>
        </w:rPr>
        <w:t xml:space="preserve">ACTION: </w:t>
      </w:r>
      <w:r>
        <w:rPr>
          <w:rFonts w:ascii="Arial" w:hAnsi="Arial" w:cs="Arial"/>
          <w:b/>
        </w:rPr>
        <w:tab/>
      </w:r>
      <w:r>
        <w:rPr>
          <w:rFonts w:hint="eastAsia" w:ascii="Arial" w:hAnsi="Arial" w:eastAsia="宋体" w:cs="Arial"/>
          <w:lang w:val="en-US" w:eastAsia="zh-CN"/>
        </w:rPr>
        <w:t>RAN3 kindly asks SA2 and SA3 to take the above into consideration.</w:t>
      </w:r>
    </w:p>
    <w:p>
      <w:pPr>
        <w:spacing w:after="120"/>
        <w:rPr>
          <w:rFonts w:ascii="Arial" w:hAnsi="Arial" w:cs="Arial"/>
        </w:rPr>
      </w:pPr>
    </w:p>
    <w:p>
      <w:pPr>
        <w:spacing w:after="120"/>
        <w:rPr>
          <w:rFonts w:ascii="Arial" w:hAnsi="Arial" w:cs="Arial"/>
          <w:b/>
          <w:lang w:val="en-US"/>
        </w:rPr>
      </w:pPr>
      <w:r>
        <w:rPr>
          <w:rFonts w:ascii="Arial" w:hAnsi="Arial" w:cs="Arial"/>
          <w:b/>
        </w:rPr>
        <w:t>3. Date of Next RAN3 Meetings:</w:t>
      </w:r>
    </w:p>
    <w:p>
      <w:pPr>
        <w:overflowPunct w:val="0"/>
        <w:autoSpaceDE w:val="0"/>
        <w:autoSpaceDN w:val="0"/>
        <w:adjustRightInd w:val="0"/>
        <w:spacing w:after="120"/>
        <w:textAlignment w:val="baseline"/>
        <w:rPr>
          <w:rFonts w:ascii="Arial" w:hAnsi="Arial" w:cs="Arial"/>
          <w:bCs/>
        </w:rPr>
      </w:pPr>
      <w:r>
        <w:rPr>
          <w:rFonts w:ascii="Arial" w:hAnsi="Arial" w:cs="Arial"/>
        </w:rPr>
        <w:t>TSG RAN WG</w:t>
      </w:r>
      <w:r>
        <w:rPr>
          <w:rFonts w:hint="eastAsia" w:ascii="Arial" w:hAnsi="Arial" w:cs="Arial"/>
          <w:lang w:val="en-US" w:eastAsia="zh-CN"/>
        </w:rPr>
        <w:t>3</w:t>
      </w:r>
      <w:r>
        <w:rPr>
          <w:rFonts w:ascii="Arial" w:hAnsi="Arial" w:cs="Arial"/>
        </w:rPr>
        <w:t xml:space="preserve"> Meeting #</w:t>
      </w:r>
      <w:r>
        <w:rPr>
          <w:rFonts w:ascii="Arial" w:hAnsi="Arial" w:eastAsia="Yu Mincho" w:cs="Arial"/>
          <w:bCs/>
        </w:rPr>
        <w:t>1</w:t>
      </w:r>
      <w:r>
        <w:rPr>
          <w:rFonts w:hint="eastAsia" w:ascii="Arial" w:hAnsi="Arial" w:eastAsia="宋体" w:cs="Arial"/>
          <w:bCs/>
          <w:lang w:val="en-US" w:eastAsia="zh-CN"/>
        </w:rPr>
        <w:t>25</w:t>
      </w:r>
      <w:r>
        <w:rPr>
          <w:rFonts w:ascii="Arial" w:hAnsi="Arial" w:cs="Arial"/>
          <w:bCs/>
          <w:lang w:val="en-US" w:eastAsia="zh-CN"/>
        </w:rPr>
        <w:t xml:space="preserve">     </w:t>
      </w:r>
      <w:r>
        <w:rPr>
          <w:rFonts w:hint="eastAsia" w:ascii="Arial" w:hAnsi="Arial" w:cs="Arial"/>
          <w:bCs/>
          <w:lang w:val="en-US" w:eastAsia="zh-CN"/>
        </w:rPr>
        <w:t>19</w:t>
      </w:r>
      <w:r>
        <w:rPr>
          <w:rFonts w:ascii="Arial" w:hAnsi="Arial" w:eastAsia="Wingdings" w:cs="Calibri Light"/>
          <w:bCs/>
          <w:vertAlign w:val="superscript"/>
        </w:rPr>
        <w:t>th</w:t>
      </w:r>
      <w:r>
        <w:rPr>
          <w:rFonts w:ascii="Arial" w:hAnsi="Arial" w:eastAsia="Wingdings" w:cs="Calibri Light"/>
          <w:bCs/>
        </w:rPr>
        <w:t xml:space="preserve"> – </w:t>
      </w:r>
      <w:r>
        <w:rPr>
          <w:rFonts w:hint="eastAsia" w:ascii="Arial" w:hAnsi="Arial" w:cs="Arial"/>
          <w:bCs/>
          <w:lang w:val="en-US" w:eastAsia="zh-CN"/>
        </w:rPr>
        <w:t>24</w:t>
      </w:r>
      <w:r>
        <w:rPr>
          <w:rFonts w:ascii="Arial" w:hAnsi="Arial" w:eastAsia="Wingdings" w:cs="Calibri Light"/>
          <w:bCs/>
          <w:vertAlign w:val="superscript"/>
        </w:rPr>
        <w:t>th</w:t>
      </w:r>
      <w:r>
        <w:rPr>
          <w:rFonts w:ascii="Arial" w:hAnsi="Arial" w:cs="Calibri Light"/>
          <w:bCs/>
          <w:lang w:val="en-US" w:eastAsia="zh-CN"/>
        </w:rPr>
        <w:t>,</w:t>
      </w:r>
      <w:r>
        <w:rPr>
          <w:rFonts w:ascii="Arial" w:hAnsi="Arial" w:eastAsia="Wingdings" w:cs="Calibri Light"/>
          <w:bCs/>
        </w:rPr>
        <w:t xml:space="preserve"> </w:t>
      </w:r>
      <w:r>
        <w:rPr>
          <w:rFonts w:hint="eastAsia" w:ascii="Arial" w:hAnsi="Arial" w:eastAsia="宋体" w:cs="Calibri Light"/>
          <w:bCs/>
          <w:lang w:val="en-US" w:eastAsia="zh-CN"/>
        </w:rPr>
        <w:t>Aug</w:t>
      </w:r>
      <w:r>
        <w:rPr>
          <w:rFonts w:hint="eastAsia" w:ascii="Arial" w:hAnsi="Arial" w:eastAsia="Wingdings" w:cs="Calibri Light"/>
          <w:bCs/>
        </w:rPr>
        <w:t>.</w:t>
      </w:r>
      <w:r>
        <w:rPr>
          <w:rFonts w:ascii="Arial" w:hAnsi="Arial" w:eastAsia="Wingdings" w:cs="Calibri Light"/>
          <w:bCs/>
        </w:rPr>
        <w:t xml:space="preserve"> 202</w:t>
      </w:r>
      <w:r>
        <w:rPr>
          <w:rFonts w:hint="eastAsia" w:ascii="Arial" w:hAnsi="Arial" w:eastAsia="宋体" w:cs="Calibri Light"/>
          <w:bCs/>
          <w:lang w:val="en-US" w:eastAsia="zh-CN"/>
        </w:rPr>
        <w:t>4</w:t>
      </w:r>
      <w:r>
        <w:rPr>
          <w:rFonts w:ascii="Arial" w:hAnsi="Arial" w:eastAsia="Wingdings" w:cs="Calibri Light"/>
          <w:bCs/>
        </w:rPr>
        <w:t xml:space="preserve"> </w:t>
      </w:r>
      <w:r>
        <w:rPr>
          <w:rFonts w:ascii="Arial" w:hAnsi="Arial" w:cs="Arial"/>
        </w:rPr>
        <w:tab/>
      </w:r>
      <w:r>
        <w:rPr>
          <w:rFonts w:ascii="Arial" w:hAnsi="Arial" w:cs="Arial"/>
        </w:rPr>
        <w:tab/>
      </w:r>
      <w:r>
        <w:rPr>
          <w:rFonts w:hint="eastAsia" w:ascii="Arial" w:hAnsi="Arial" w:cs="Arial"/>
          <w:lang w:val="en-US" w:eastAsia="zh-CN"/>
        </w:rPr>
        <w:t xml:space="preserve"> </w:t>
      </w:r>
      <w:r>
        <w:rPr>
          <w:rFonts w:ascii="Arial" w:hAnsi="Arial" w:cs="Arial"/>
          <w:bCs/>
        </w:rPr>
        <w:t>Maastricht, The Netherlands</w:t>
      </w:r>
    </w:p>
    <w:p>
      <w:pPr>
        <w:pStyle w:val="40"/>
        <w:keepNext w:val="0"/>
        <w:keepLines w:val="0"/>
        <w:widowControl/>
        <w:suppressLineNumbers w:val="0"/>
        <w:spacing w:before="0" w:beforeAutospacing="0" w:after="180" w:afterAutospacing="0"/>
        <w:ind w:left="0" w:right="0"/>
        <w:jc w:val="both"/>
        <w:rPr>
          <w:rFonts w:hint="default" w:ascii="Arial" w:hAnsi="Arial" w:eastAsia="宋体" w:cs="Arial"/>
          <w:szCs w:val="15"/>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1F217F6A"/>
    <w:multiLevelType w:val="multilevel"/>
    <w:tmpl w:val="1F217F6A"/>
    <w:lvl w:ilvl="0" w:tentative="0">
      <w:start w:val="1"/>
      <w:numFmt w:val="bullet"/>
      <w:lvlText w:val="-"/>
      <w:lvlJc w:val="left"/>
      <w:pPr>
        <w:ind w:left="720" w:hanging="360"/>
      </w:pPr>
      <w:rPr>
        <w:rFonts w:hint="default" w:ascii="Arial" w:hAnsi="Arial" w:eastAsia="Batang"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3DA5426"/>
    <w:multiLevelType w:val="multilevel"/>
    <w:tmpl w:val="43DA542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44F59F0"/>
    <w:multiLevelType w:val="multilevel"/>
    <w:tmpl w:val="444F59F0"/>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none"/>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324214"/>
    <w:rsid w:val="02B43A7B"/>
    <w:rsid w:val="02B6410D"/>
    <w:rsid w:val="04AF3F3E"/>
    <w:rsid w:val="093150BB"/>
    <w:rsid w:val="09740087"/>
    <w:rsid w:val="0A1E5028"/>
    <w:rsid w:val="0E3136E6"/>
    <w:rsid w:val="0E9653EB"/>
    <w:rsid w:val="0EB605BF"/>
    <w:rsid w:val="0EC05A14"/>
    <w:rsid w:val="0F16768D"/>
    <w:rsid w:val="13792BAA"/>
    <w:rsid w:val="14D00E04"/>
    <w:rsid w:val="15A20725"/>
    <w:rsid w:val="16CE0C48"/>
    <w:rsid w:val="1A0466FB"/>
    <w:rsid w:val="1C2D35B9"/>
    <w:rsid w:val="1D155476"/>
    <w:rsid w:val="20F3048E"/>
    <w:rsid w:val="21285BC2"/>
    <w:rsid w:val="21535177"/>
    <w:rsid w:val="23082C82"/>
    <w:rsid w:val="23545058"/>
    <w:rsid w:val="262124A9"/>
    <w:rsid w:val="26A22470"/>
    <w:rsid w:val="28637FC4"/>
    <w:rsid w:val="2CE25BA2"/>
    <w:rsid w:val="2E0820D9"/>
    <w:rsid w:val="2E5A421D"/>
    <w:rsid w:val="2F223451"/>
    <w:rsid w:val="307677A1"/>
    <w:rsid w:val="30CB3834"/>
    <w:rsid w:val="315B4657"/>
    <w:rsid w:val="315E1A2C"/>
    <w:rsid w:val="3213537B"/>
    <w:rsid w:val="33FF6796"/>
    <w:rsid w:val="343C414D"/>
    <w:rsid w:val="3508037E"/>
    <w:rsid w:val="35210BF3"/>
    <w:rsid w:val="35630EFA"/>
    <w:rsid w:val="367F46EA"/>
    <w:rsid w:val="36DB3FDE"/>
    <w:rsid w:val="3A5B0F85"/>
    <w:rsid w:val="3CB536C8"/>
    <w:rsid w:val="3D3E6E28"/>
    <w:rsid w:val="3D903463"/>
    <w:rsid w:val="3E313BCA"/>
    <w:rsid w:val="3EB90BDA"/>
    <w:rsid w:val="40B31123"/>
    <w:rsid w:val="41497E94"/>
    <w:rsid w:val="41855949"/>
    <w:rsid w:val="425A3FF2"/>
    <w:rsid w:val="458B6562"/>
    <w:rsid w:val="460D4D57"/>
    <w:rsid w:val="469938F6"/>
    <w:rsid w:val="493D64F1"/>
    <w:rsid w:val="4A5E7DB0"/>
    <w:rsid w:val="4B1879EE"/>
    <w:rsid w:val="4C2F6E91"/>
    <w:rsid w:val="51AC1FE5"/>
    <w:rsid w:val="57B10770"/>
    <w:rsid w:val="5A8D75A7"/>
    <w:rsid w:val="5BA31801"/>
    <w:rsid w:val="5CE93BF4"/>
    <w:rsid w:val="5E801B8A"/>
    <w:rsid w:val="5ECD7994"/>
    <w:rsid w:val="5F58247F"/>
    <w:rsid w:val="5F8E5CD6"/>
    <w:rsid w:val="6010771C"/>
    <w:rsid w:val="62B9609B"/>
    <w:rsid w:val="64AB0FD3"/>
    <w:rsid w:val="656E746E"/>
    <w:rsid w:val="656F1C10"/>
    <w:rsid w:val="669069E8"/>
    <w:rsid w:val="68441265"/>
    <w:rsid w:val="688D6F0D"/>
    <w:rsid w:val="6970652E"/>
    <w:rsid w:val="6B2A73F3"/>
    <w:rsid w:val="6B9F2C01"/>
    <w:rsid w:val="6BFA4652"/>
    <w:rsid w:val="6CE25ECD"/>
    <w:rsid w:val="6E3A0B0C"/>
    <w:rsid w:val="6E9640E8"/>
    <w:rsid w:val="70A873E0"/>
    <w:rsid w:val="71F11DC7"/>
    <w:rsid w:val="74E15AC5"/>
    <w:rsid w:val="75CB674E"/>
    <w:rsid w:val="76541BA8"/>
    <w:rsid w:val="7A1C28CC"/>
    <w:rsid w:val="7AF23CD6"/>
    <w:rsid w:val="7B0E08A8"/>
    <w:rsid w:val="7B13784B"/>
    <w:rsid w:val="7B722DAC"/>
    <w:rsid w:val="7C821B55"/>
    <w:rsid w:val="7CD948A7"/>
    <w:rsid w:val="7D3B4375"/>
    <w:rsid w:val="7DC61152"/>
    <w:rsid w:val="7E80318C"/>
    <w:rsid w:val="7EE065B1"/>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5"/>
    <w:qFormat/>
    <w:uiPriority w:val="0"/>
    <w:pPr>
      <w:shd w:val="clear" w:color="auto" w:fill="000080"/>
    </w:pPr>
    <w:rPr>
      <w:rFonts w:ascii="Tahoma" w:hAnsi="Tahoma" w:cs="Tahoma"/>
    </w:rPr>
  </w:style>
  <w:style w:type="paragraph" w:styleId="29">
    <w:name w:val="annotation text"/>
    <w:basedOn w:val="1"/>
    <w:link w:val="113"/>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4"/>
    <w:link w:val="102"/>
    <w:qFormat/>
    <w:uiPriority w:val="0"/>
  </w:style>
  <w:style w:type="paragraph" w:customStyle="1" w:styleId="81">
    <w:name w:val="B2"/>
    <w:basedOn w:val="13"/>
    <w:link w:val="106"/>
    <w:qFormat/>
    <w:uiPriority w:val="0"/>
  </w:style>
  <w:style w:type="paragraph" w:customStyle="1" w:styleId="82">
    <w:name w:val="B3"/>
    <w:basedOn w:val="12"/>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5"/>
    <w:qFormat/>
    <w:uiPriority w:val="0"/>
    <w:rPr>
      <w:rFonts w:ascii="Arial" w:hAnsi="Arial"/>
      <w:sz w:val="24"/>
      <w:lang w:val="en-GB"/>
    </w:rPr>
  </w:style>
  <w:style w:type="character" w:customStyle="1" w:styleId="96">
    <w:name w:val="标题 3 字符"/>
    <w:link w:val="4"/>
    <w:qFormat/>
    <w:uiPriority w:val="0"/>
    <w:rPr>
      <w:rFonts w:ascii="Arial" w:hAnsi="Arial"/>
      <w:sz w:val="28"/>
      <w:lang w:val="en-GB"/>
    </w:rPr>
  </w:style>
  <w:style w:type="character" w:customStyle="1" w:styleId="97">
    <w:name w:val="标题 6 字符"/>
    <w:link w:val="7"/>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29"/>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8"/>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Source"/>
    <w:basedOn w:val="1"/>
    <w:qFormat/>
    <w:uiPriority w:val="0"/>
    <w:pPr>
      <w:spacing w:after="60"/>
      <w:ind w:left="1985" w:hanging="1985"/>
    </w:pPr>
    <w:rPr>
      <w:rFonts w:ascii="Arial" w:hAnsi="Arial" w:cs="Arial"/>
      <w:b/>
    </w:rPr>
  </w:style>
  <w:style w:type="paragraph" w:customStyle="1" w:styleId="124">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5">
    <w:name w:val="TAL + Left:  050 cm"/>
    <w:basedOn w:val="58"/>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6">
    <w:name w:val="TAL + Left:  0"/>
    <w:basedOn w:val="58"/>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7">
    <w:name w:val="List Paragraph"/>
    <w:basedOn w:val="1"/>
    <w:qFormat/>
    <w:uiPriority w:val="99"/>
    <w:pPr>
      <w:ind w:left="720"/>
      <w:contextualSpacing/>
    </w:pPr>
  </w:style>
  <w:style w:type="character" w:customStyle="1" w:styleId="128">
    <w:name w:val="标题 2 Char"/>
    <w:link w:val="3"/>
    <w:qFormat/>
    <w:uiPriority w:val="0"/>
    <w:rPr>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4</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2024-05-10T06:36:21Z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607029710F684B39AEA426E80CE60835</vt:lpwstr>
  </property>
</Properties>
</file>